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sz w:val="52"/>
          <w:szCs w:val="52"/>
        </w:rPr>
      </w:pPr>
    </w:p>
    <w:p>
      <w:pPr>
        <w:jc w:val="center"/>
        <w:rPr>
          <w:rFonts w:hint="default" w:ascii="Times New Roman" w:hAnsi="Times New Roman" w:eastAsia="黑体" w:cs="Times New Roman"/>
          <w:sz w:val="52"/>
          <w:szCs w:val="52"/>
        </w:rPr>
      </w:pPr>
    </w:p>
    <w:p>
      <w:pPr>
        <w:jc w:val="center"/>
        <w:rPr>
          <w:rFonts w:hint="default" w:ascii="Times New Roman" w:hAnsi="Times New Roman" w:eastAsia="黑体" w:cs="Times New Roman"/>
          <w:sz w:val="52"/>
          <w:szCs w:val="52"/>
        </w:rPr>
      </w:pPr>
    </w:p>
    <w:p>
      <w:pPr>
        <w:jc w:val="center"/>
        <w:rPr>
          <w:rFonts w:hint="default" w:ascii="Times New Roman" w:hAnsi="Times New Roman" w:eastAsia="黑体" w:cs="Times New Roman"/>
          <w:sz w:val="52"/>
          <w:szCs w:val="52"/>
          <w:lang w:eastAsia="zh-CN"/>
        </w:rPr>
      </w:pPr>
      <w:r>
        <w:rPr>
          <w:rFonts w:hint="default" w:ascii="Times New Roman" w:hAnsi="Times New Roman" w:eastAsia="黑体" w:cs="Times New Roman"/>
          <w:sz w:val="52"/>
          <w:szCs w:val="52"/>
          <w:lang w:eastAsia="zh-CN"/>
        </w:rPr>
        <w:t>昆明市社会科学界联合会</w:t>
      </w:r>
    </w:p>
    <w:p>
      <w:pPr>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202</w:t>
      </w:r>
      <w:r>
        <w:rPr>
          <w:rFonts w:hint="default" w:ascii="Times New Roman" w:hAnsi="Times New Roman" w:eastAsia="黑体" w:cs="Times New Roman"/>
          <w:sz w:val="52"/>
          <w:szCs w:val="52"/>
          <w:lang w:val="en-US" w:eastAsia="zh-CN"/>
        </w:rPr>
        <w:t>4</w:t>
      </w:r>
      <w:r>
        <w:rPr>
          <w:rFonts w:hint="default" w:ascii="Times New Roman" w:hAnsi="Times New Roman" w:eastAsia="黑体" w:cs="Times New Roman"/>
          <w:sz w:val="52"/>
          <w:szCs w:val="52"/>
        </w:rPr>
        <w:t>年度部门整体支出绩效自评报告</w:t>
      </w:r>
    </w:p>
    <w:p>
      <w:pPr>
        <w:spacing w:before="120" w:after="120" w:line="480" w:lineRule="auto"/>
        <w:jc w:val="center"/>
        <w:rPr>
          <w:rFonts w:hint="default" w:ascii="Times New Roman" w:hAnsi="Times New Roman" w:eastAsia="黑体" w:cs="Times New Roman"/>
          <w:b/>
          <w:bCs/>
          <w:sz w:val="52"/>
          <w:szCs w:val="52"/>
        </w:rPr>
      </w:pPr>
    </w:p>
    <w:p>
      <w:pPr>
        <w:spacing w:before="120" w:after="120" w:line="480" w:lineRule="auto"/>
        <w:jc w:val="center"/>
        <w:rPr>
          <w:rFonts w:hint="default" w:ascii="Times New Roman" w:hAnsi="Times New Roman" w:cs="Times New Roman"/>
          <w:b/>
          <w:bCs/>
          <w:sz w:val="44"/>
          <w:szCs w:val="44"/>
        </w:rPr>
      </w:pPr>
    </w:p>
    <w:p>
      <w:pPr>
        <w:spacing w:before="120" w:after="120" w:line="480" w:lineRule="auto"/>
        <w:jc w:val="center"/>
        <w:rPr>
          <w:rFonts w:hint="default" w:ascii="Times New Roman" w:hAnsi="Times New Roman" w:cs="Times New Roman"/>
          <w:b/>
          <w:bCs/>
          <w:sz w:val="44"/>
          <w:szCs w:val="44"/>
        </w:rPr>
      </w:pPr>
    </w:p>
    <w:p>
      <w:pPr>
        <w:spacing w:before="120" w:after="120" w:line="480" w:lineRule="auto"/>
        <w:jc w:val="center"/>
        <w:rPr>
          <w:rFonts w:hint="default" w:ascii="Times New Roman" w:hAnsi="Times New Roman" w:cs="Times New Roman"/>
          <w:b/>
          <w:bCs/>
          <w:sz w:val="44"/>
          <w:szCs w:val="44"/>
        </w:rPr>
      </w:pPr>
    </w:p>
    <w:p>
      <w:pPr>
        <w:spacing w:before="120" w:after="120" w:line="480" w:lineRule="auto"/>
        <w:jc w:val="center"/>
        <w:rPr>
          <w:rFonts w:hint="default" w:ascii="Times New Roman" w:hAnsi="Times New Roman" w:eastAsia="黑体" w:cs="Times New Roman"/>
          <w:b/>
          <w:bCs/>
          <w:sz w:val="44"/>
          <w:szCs w:val="44"/>
        </w:rPr>
      </w:pPr>
    </w:p>
    <w:p>
      <w:pPr>
        <w:snapToGrid w:val="0"/>
        <w:spacing w:line="480" w:lineRule="auto"/>
        <w:ind w:firstLine="280" w:firstLineChars="100"/>
        <w:rPr>
          <w:rFonts w:hint="default" w:ascii="Times New Roman" w:hAnsi="Times New Roman" w:eastAsia="黑体" w:cs="Times New Roman"/>
          <w:b/>
          <w:bCs/>
          <w:sz w:val="28"/>
          <w:szCs w:val="28"/>
          <w:u w:val="single"/>
        </w:rPr>
      </w:pPr>
      <w:r>
        <w:rPr>
          <w:rFonts w:hint="default" w:ascii="Times New Roman" w:hAnsi="Times New Roman" w:eastAsia="黑体" w:cs="Times New Roman"/>
          <w:b/>
          <w:bCs/>
          <w:sz w:val="28"/>
          <w:szCs w:val="28"/>
        </w:rPr>
        <w:t xml:space="preserve">     项目名称：</w:t>
      </w:r>
      <w:r>
        <w:rPr>
          <w:rFonts w:hint="default" w:ascii="Times New Roman" w:hAnsi="Times New Roman" w:eastAsia="黑体" w:cs="Times New Roman"/>
          <w:b/>
          <w:bCs/>
          <w:sz w:val="28"/>
          <w:szCs w:val="28"/>
          <w:u w:val="single"/>
          <w:lang w:eastAsia="zh-CN"/>
        </w:rPr>
        <w:t>昆明市社会科学界联合会</w:t>
      </w:r>
      <w:r>
        <w:rPr>
          <w:rFonts w:hint="default" w:ascii="Times New Roman" w:hAnsi="Times New Roman" w:eastAsia="黑体" w:cs="Times New Roman"/>
          <w:b/>
          <w:bCs/>
          <w:sz w:val="28"/>
          <w:szCs w:val="28"/>
          <w:u w:val="single"/>
        </w:rPr>
        <w:t>部门整体支出绩效</w:t>
      </w:r>
    </w:p>
    <w:p>
      <w:pPr>
        <w:snapToGrid w:val="0"/>
        <w:spacing w:line="480" w:lineRule="auto"/>
        <w:ind w:firstLine="280" w:firstLineChars="100"/>
        <w:rPr>
          <w:rFonts w:hint="default" w:ascii="Times New Roman" w:hAnsi="Times New Roman" w:eastAsia="黑体" w:cs="Times New Roman"/>
          <w:b/>
          <w:bCs/>
          <w:sz w:val="28"/>
          <w:szCs w:val="28"/>
          <w:u w:val="single"/>
        </w:rPr>
      </w:pPr>
      <w:r>
        <w:rPr>
          <w:rFonts w:hint="default" w:ascii="Times New Roman" w:hAnsi="Times New Roman" w:eastAsia="黑体" w:cs="Times New Roman"/>
          <w:b/>
          <w:bCs/>
          <w:sz w:val="28"/>
          <w:szCs w:val="28"/>
        </w:rPr>
        <w:t xml:space="preserve">     部门名称：</w:t>
      </w:r>
      <w:r>
        <w:rPr>
          <w:rFonts w:hint="default" w:ascii="Times New Roman" w:hAnsi="Times New Roman" w:eastAsia="黑体" w:cs="Times New Roman"/>
          <w:b/>
          <w:bCs/>
          <w:sz w:val="28"/>
          <w:szCs w:val="28"/>
          <w:u w:val="single"/>
          <w:lang w:eastAsia="zh-CN"/>
        </w:rPr>
        <w:t>昆明市社会科学界联合会</w:t>
      </w:r>
    </w:p>
    <w:p>
      <w:pPr>
        <w:snapToGrid w:val="0"/>
        <w:spacing w:line="480" w:lineRule="auto"/>
        <w:ind w:firstLine="280" w:firstLineChars="100"/>
        <w:rPr>
          <w:rFonts w:hint="default" w:ascii="Times New Roman" w:hAnsi="Times New Roman" w:eastAsia="黑体" w:cs="Times New Roman"/>
          <w:b/>
          <w:bCs/>
          <w:sz w:val="28"/>
          <w:szCs w:val="28"/>
          <w:u w:val="single"/>
        </w:rPr>
      </w:pPr>
      <w:r>
        <w:rPr>
          <w:rFonts w:hint="default" w:ascii="Times New Roman" w:hAnsi="Times New Roman" w:eastAsia="黑体" w:cs="Times New Roman"/>
          <w:b/>
          <w:bCs/>
          <w:sz w:val="28"/>
          <w:szCs w:val="28"/>
        </w:rPr>
        <w:t xml:space="preserve">     评价机构：</w:t>
      </w:r>
      <w:r>
        <w:rPr>
          <w:rFonts w:hint="default" w:ascii="Times New Roman" w:hAnsi="Times New Roman" w:eastAsia="黑体" w:cs="Times New Roman"/>
          <w:b/>
          <w:bCs/>
          <w:sz w:val="28"/>
          <w:szCs w:val="28"/>
          <w:u w:val="single"/>
          <w:lang w:eastAsia="zh-CN"/>
        </w:rPr>
        <w:t>昆明市社会科学界联合会</w:t>
      </w:r>
    </w:p>
    <w:p>
      <w:pPr>
        <w:snapToGrid w:val="0"/>
        <w:spacing w:line="360" w:lineRule="auto"/>
        <w:ind w:left="1260" w:leftChars="600"/>
        <w:rPr>
          <w:rFonts w:hint="default" w:ascii="Times New Roman" w:hAnsi="Times New Roman" w:eastAsia="黑体" w:cs="Times New Roman"/>
          <w:b/>
          <w:bCs/>
          <w:sz w:val="28"/>
          <w:szCs w:val="28"/>
        </w:rPr>
      </w:pPr>
    </w:p>
    <w:p>
      <w:pPr>
        <w:snapToGrid w:val="0"/>
        <w:spacing w:line="360" w:lineRule="auto"/>
        <w:ind w:left="1260" w:leftChars="600"/>
        <w:rPr>
          <w:rFonts w:hint="default" w:ascii="Times New Roman" w:hAnsi="Times New Roman" w:eastAsia="黑体" w:cs="Times New Roman"/>
          <w:b/>
          <w:bCs/>
          <w:sz w:val="28"/>
          <w:szCs w:val="28"/>
        </w:rPr>
      </w:pPr>
    </w:p>
    <w:p>
      <w:pPr>
        <w:snapToGrid w:val="0"/>
        <w:spacing w:line="360" w:lineRule="auto"/>
        <w:rPr>
          <w:rFonts w:hint="default" w:ascii="Times New Roman" w:hAnsi="Times New Roman" w:eastAsia="黑体" w:cs="Times New Roman"/>
          <w:b/>
          <w:bCs/>
          <w:sz w:val="28"/>
          <w:szCs w:val="28"/>
        </w:rPr>
      </w:pPr>
    </w:p>
    <w:p>
      <w:pPr>
        <w:spacing w:line="360" w:lineRule="auto"/>
        <w:ind w:left="1218" w:leftChars="580"/>
        <w:rPr>
          <w:rFonts w:hint="default" w:ascii="Times New Roman" w:hAnsi="Times New Roman" w:eastAsia="黑体" w:cs="Times New Roman"/>
          <w:b/>
          <w:bCs/>
          <w:sz w:val="28"/>
          <w:szCs w:val="28"/>
        </w:rPr>
      </w:pPr>
    </w:p>
    <w:p>
      <w:pPr>
        <w:jc w:val="center"/>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202</w:t>
      </w:r>
      <w:r>
        <w:rPr>
          <w:rFonts w:hint="default" w:ascii="Times New Roman" w:hAnsi="Times New Roman" w:eastAsia="黑体" w:cs="Times New Roman"/>
          <w:b/>
          <w:bCs/>
          <w:sz w:val="28"/>
          <w:szCs w:val="28"/>
          <w:lang w:val="en-US" w:eastAsia="zh-CN"/>
        </w:rPr>
        <w:t>5</w:t>
      </w:r>
      <w:r>
        <w:rPr>
          <w:rFonts w:hint="default" w:ascii="Times New Roman" w:hAnsi="Times New Roman" w:eastAsia="黑体" w:cs="Times New Roman"/>
          <w:b/>
          <w:bCs/>
          <w:sz w:val="28"/>
          <w:szCs w:val="28"/>
        </w:rPr>
        <w:t>年</w:t>
      </w:r>
      <w:r>
        <w:rPr>
          <w:rFonts w:hint="default" w:ascii="Times New Roman" w:hAnsi="Times New Roman" w:eastAsia="黑体" w:cs="Times New Roman"/>
          <w:b/>
          <w:bCs/>
          <w:sz w:val="28"/>
          <w:szCs w:val="28"/>
          <w:lang w:val="en-US" w:eastAsia="zh-CN"/>
        </w:rPr>
        <w:t>3</w:t>
      </w:r>
      <w:r>
        <w:rPr>
          <w:rFonts w:hint="default" w:ascii="Times New Roman" w:hAnsi="Times New Roman" w:eastAsia="黑体" w:cs="Times New Roman"/>
          <w:b/>
          <w:bCs/>
          <w:sz w:val="28"/>
          <w:szCs w:val="28"/>
        </w:rPr>
        <w:t>月</w:t>
      </w:r>
    </w:p>
    <w:p>
      <w:pPr>
        <w:pStyle w:val="2"/>
        <w:rPr>
          <w:rFonts w:hint="default"/>
          <w:lang w:val="zh-TW" w:eastAsia="zh-TW"/>
        </w:rPr>
      </w:pPr>
    </w:p>
    <w:p>
      <w:pPr>
        <w:pStyle w:val="141"/>
        <w:widowControl w:val="0"/>
        <w:spacing w:after="0" w:line="360" w:lineRule="auto"/>
        <w:ind w:left="420" w:leftChars="200"/>
        <w:jc w:val="both"/>
        <w:rPr>
          <w:rFonts w:hint="default" w:ascii="Times New Roman" w:hAnsi="Times New Roman" w:eastAsia="PMingLiU" w:cs="Times New Roman"/>
          <w:b/>
          <w:color w:val="auto"/>
          <w:kern w:val="2"/>
          <w:sz w:val="24"/>
          <w:szCs w:val="24"/>
          <w:lang w:val="zh-TW" w:eastAsia="zh-TW"/>
        </w:rPr>
      </w:pPr>
      <w:r>
        <w:rPr>
          <w:rFonts w:hint="default" w:ascii="Times New Roman" w:hAnsi="Times New Roman" w:eastAsia="仿宋_GB2312" w:cs="Times New Roman"/>
          <w:b/>
          <w:color w:val="auto"/>
          <w:kern w:val="2"/>
          <w:sz w:val="28"/>
          <w:szCs w:val="28"/>
          <w:lang w:val="zh-TW" w:eastAsia="zh-CN"/>
        </w:rPr>
        <w:t>市社科联</w:t>
      </w:r>
      <w:r>
        <w:rPr>
          <w:rFonts w:hint="default" w:ascii="Times New Roman" w:hAnsi="Times New Roman" w:eastAsia="仿宋_GB2312" w:cs="Times New Roman"/>
          <w:b/>
          <w:color w:val="auto"/>
          <w:kern w:val="2"/>
          <w:sz w:val="28"/>
          <w:szCs w:val="28"/>
          <w:lang w:val="zh-TW" w:eastAsia="zh-TW"/>
        </w:rPr>
        <w:t>绩效评价小组成员</w:t>
      </w:r>
      <w:r>
        <w:rPr>
          <w:rFonts w:hint="default" w:ascii="Times New Roman" w:hAnsi="Times New Roman" w:eastAsia="仿宋_GB2312" w:cs="Times New Roman"/>
          <w:b/>
          <w:color w:val="auto"/>
          <w:kern w:val="2"/>
          <w:sz w:val="24"/>
          <w:szCs w:val="24"/>
          <w:lang w:val="zh-TW" w:eastAsia="zh-TW"/>
        </w:rPr>
        <w:t>：</w:t>
      </w:r>
    </w:p>
    <w:tbl>
      <w:tblPr>
        <w:tblStyle w:val="89"/>
        <w:tblpPr w:leftFromText="180" w:rightFromText="180" w:vertAnchor="text" w:horzAnchor="margin" w:tblpX="1" w:tblpY="7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200"/>
        <w:gridCol w:w="2986"/>
        <w:gridCol w:w="2508"/>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266" w:type="dxa"/>
            <w:vAlign w:val="center"/>
          </w:tcPr>
          <w:p>
            <w:pPr>
              <w:pStyle w:val="141"/>
              <w:widowControl w:val="0"/>
              <w:spacing w:after="0" w:line="360" w:lineRule="exact"/>
              <w:jc w:val="center"/>
              <w:rPr>
                <w:rFonts w:hint="default" w:ascii="Times New Roman" w:hAnsi="Times New Roman" w:eastAsia="仿宋_GB2312" w:cs="Times New Roman"/>
                <w:b/>
                <w:bCs/>
                <w:color w:val="auto"/>
                <w:kern w:val="2"/>
                <w:sz w:val="24"/>
                <w:szCs w:val="24"/>
                <w:lang w:val="zh-TW"/>
              </w:rPr>
            </w:pPr>
            <w:r>
              <w:rPr>
                <w:rFonts w:hint="default" w:ascii="Times New Roman" w:hAnsi="Times New Roman" w:eastAsia="仿宋_GB2312" w:cs="Times New Roman"/>
                <w:b/>
                <w:bCs/>
                <w:color w:val="auto"/>
                <w:kern w:val="2"/>
                <w:sz w:val="24"/>
                <w:szCs w:val="24"/>
                <w:lang w:val="zh-TW"/>
              </w:rPr>
              <w:t>评价小组</w:t>
            </w:r>
          </w:p>
          <w:p>
            <w:pPr>
              <w:pStyle w:val="141"/>
              <w:widowControl w:val="0"/>
              <w:spacing w:after="0" w:line="360" w:lineRule="exact"/>
              <w:jc w:val="center"/>
              <w:rPr>
                <w:rFonts w:hint="default" w:ascii="Times New Roman" w:hAnsi="Times New Roman" w:eastAsia="仿宋_GB2312" w:cs="Times New Roman"/>
                <w:b/>
                <w:bCs/>
                <w:color w:val="auto"/>
                <w:kern w:val="2"/>
                <w:sz w:val="24"/>
                <w:szCs w:val="24"/>
                <w:lang w:val="zh-TW"/>
              </w:rPr>
            </w:pPr>
            <w:r>
              <w:rPr>
                <w:rFonts w:hint="default" w:ascii="Times New Roman" w:hAnsi="Times New Roman" w:eastAsia="仿宋_GB2312" w:cs="Times New Roman"/>
                <w:b/>
                <w:bCs/>
                <w:color w:val="auto"/>
                <w:kern w:val="2"/>
                <w:sz w:val="24"/>
                <w:szCs w:val="24"/>
                <w:lang w:val="zh-TW"/>
              </w:rPr>
              <w:t>机构职位</w:t>
            </w:r>
          </w:p>
        </w:tc>
        <w:tc>
          <w:tcPr>
            <w:tcW w:w="1200" w:type="dxa"/>
            <w:vAlign w:val="center"/>
          </w:tcPr>
          <w:p>
            <w:pPr>
              <w:pStyle w:val="141"/>
              <w:widowControl w:val="0"/>
              <w:spacing w:after="0" w:line="240" w:lineRule="auto"/>
              <w:jc w:val="center"/>
              <w:rPr>
                <w:rFonts w:hint="default" w:ascii="Times New Roman" w:hAnsi="Times New Roman" w:eastAsia="仿宋_GB2312" w:cs="Times New Roman"/>
                <w:b/>
                <w:bCs/>
                <w:color w:val="auto"/>
                <w:kern w:val="2"/>
                <w:sz w:val="24"/>
                <w:szCs w:val="24"/>
                <w:lang w:val="zh-TW"/>
              </w:rPr>
            </w:pPr>
            <w:r>
              <w:rPr>
                <w:rFonts w:hint="default" w:ascii="Times New Roman" w:hAnsi="Times New Roman" w:eastAsia="仿宋_GB2312" w:cs="Times New Roman"/>
                <w:b/>
                <w:bCs/>
                <w:color w:val="auto"/>
                <w:kern w:val="2"/>
                <w:sz w:val="24"/>
                <w:szCs w:val="24"/>
                <w:lang w:val="zh-TW"/>
              </w:rPr>
              <w:t>姓名</w:t>
            </w:r>
          </w:p>
        </w:tc>
        <w:tc>
          <w:tcPr>
            <w:tcW w:w="2986" w:type="dxa"/>
            <w:vAlign w:val="center"/>
          </w:tcPr>
          <w:p>
            <w:pPr>
              <w:pStyle w:val="141"/>
              <w:widowControl w:val="0"/>
              <w:spacing w:after="0" w:line="240" w:lineRule="auto"/>
              <w:jc w:val="center"/>
              <w:rPr>
                <w:rFonts w:hint="default" w:ascii="Times New Roman" w:hAnsi="Times New Roman" w:eastAsia="仿宋_GB2312" w:cs="Times New Roman"/>
                <w:b/>
                <w:bCs/>
                <w:color w:val="auto"/>
                <w:kern w:val="2"/>
                <w:sz w:val="24"/>
                <w:szCs w:val="24"/>
                <w:lang w:val="zh-TW"/>
              </w:rPr>
            </w:pPr>
            <w:r>
              <w:rPr>
                <w:rFonts w:hint="default" w:ascii="Times New Roman" w:hAnsi="Times New Roman" w:eastAsia="仿宋_GB2312" w:cs="Times New Roman"/>
                <w:b/>
                <w:bCs/>
                <w:color w:val="auto"/>
                <w:kern w:val="2"/>
                <w:sz w:val="24"/>
                <w:szCs w:val="24"/>
                <w:lang w:val="zh-TW"/>
              </w:rPr>
              <w:t>职务/职称</w:t>
            </w:r>
          </w:p>
        </w:tc>
        <w:tc>
          <w:tcPr>
            <w:tcW w:w="2508" w:type="dxa"/>
            <w:vAlign w:val="center"/>
          </w:tcPr>
          <w:p>
            <w:pPr>
              <w:pStyle w:val="141"/>
              <w:widowControl w:val="0"/>
              <w:spacing w:after="0" w:line="360" w:lineRule="exact"/>
              <w:jc w:val="center"/>
              <w:rPr>
                <w:rFonts w:hint="default" w:ascii="Times New Roman" w:hAnsi="Times New Roman" w:eastAsia="仿宋_GB2312" w:cs="Times New Roman"/>
                <w:b/>
                <w:bCs/>
                <w:color w:val="auto"/>
                <w:kern w:val="2"/>
                <w:sz w:val="24"/>
                <w:szCs w:val="24"/>
                <w:lang w:val="zh-TW"/>
              </w:rPr>
            </w:pPr>
            <w:r>
              <w:rPr>
                <w:rFonts w:hint="default" w:ascii="Times New Roman" w:hAnsi="Times New Roman" w:eastAsia="仿宋_GB2312" w:cs="Times New Roman"/>
                <w:b/>
                <w:bCs/>
                <w:color w:val="auto"/>
                <w:kern w:val="2"/>
                <w:sz w:val="24"/>
                <w:szCs w:val="24"/>
                <w:lang w:val="zh-TW"/>
              </w:rPr>
              <w:t>所属</w:t>
            </w:r>
          </w:p>
          <w:p>
            <w:pPr>
              <w:pStyle w:val="141"/>
              <w:widowControl w:val="0"/>
              <w:spacing w:after="0" w:line="360" w:lineRule="exact"/>
              <w:jc w:val="center"/>
              <w:rPr>
                <w:rFonts w:hint="default" w:ascii="Times New Roman" w:hAnsi="Times New Roman" w:eastAsia="仿宋_GB2312" w:cs="Times New Roman"/>
                <w:b/>
                <w:bCs/>
                <w:color w:val="auto"/>
                <w:kern w:val="2"/>
                <w:sz w:val="24"/>
                <w:szCs w:val="24"/>
                <w:lang w:val="zh-TW"/>
              </w:rPr>
            </w:pPr>
            <w:r>
              <w:rPr>
                <w:rFonts w:hint="default" w:ascii="Times New Roman" w:hAnsi="Times New Roman" w:eastAsia="仿宋_GB2312" w:cs="Times New Roman"/>
                <w:b/>
                <w:bCs/>
                <w:color w:val="auto"/>
                <w:kern w:val="2"/>
                <w:sz w:val="24"/>
                <w:szCs w:val="24"/>
                <w:lang w:val="zh-TW"/>
              </w:rPr>
              <w:t>单位/处室</w:t>
            </w:r>
          </w:p>
        </w:tc>
        <w:tc>
          <w:tcPr>
            <w:tcW w:w="1125" w:type="dxa"/>
            <w:vAlign w:val="center"/>
          </w:tcPr>
          <w:p>
            <w:pPr>
              <w:pStyle w:val="141"/>
              <w:widowControl w:val="0"/>
              <w:spacing w:after="0" w:line="240" w:lineRule="auto"/>
              <w:jc w:val="center"/>
              <w:rPr>
                <w:rFonts w:hint="default" w:ascii="Times New Roman" w:hAnsi="Times New Roman" w:eastAsia="仿宋_GB2312" w:cs="Times New Roman"/>
                <w:b/>
                <w:bCs/>
                <w:color w:val="auto"/>
                <w:kern w:val="2"/>
                <w:sz w:val="24"/>
                <w:szCs w:val="24"/>
                <w:lang w:val="zh-TW"/>
              </w:rPr>
            </w:pPr>
            <w:r>
              <w:rPr>
                <w:rFonts w:hint="default" w:ascii="Times New Roman" w:hAnsi="Times New Roman" w:eastAsia="仿宋_GB2312" w:cs="Times New Roman"/>
                <w:b/>
                <w:bCs/>
                <w:color w:val="auto"/>
                <w:kern w:val="2"/>
                <w:sz w:val="24"/>
                <w:szCs w:val="24"/>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66" w:type="dxa"/>
            <w:vAlign w:val="center"/>
          </w:tcPr>
          <w:p>
            <w:pPr>
              <w:pStyle w:val="141"/>
              <w:widowControl w:val="0"/>
              <w:spacing w:after="0" w:line="240" w:lineRule="auto"/>
              <w:jc w:val="center"/>
              <w:rPr>
                <w:rFonts w:hint="default" w:ascii="Times New Roman" w:hAnsi="Times New Roman" w:eastAsia="仿宋" w:cs="Times New Roman"/>
                <w:color w:val="auto"/>
                <w:kern w:val="2"/>
                <w:sz w:val="24"/>
                <w:szCs w:val="24"/>
                <w:lang w:val="zh-TW"/>
              </w:rPr>
            </w:pPr>
            <w:r>
              <w:rPr>
                <w:rFonts w:hint="default" w:ascii="Times New Roman" w:hAnsi="Times New Roman" w:eastAsia="仿宋" w:cs="Times New Roman"/>
                <w:color w:val="auto"/>
                <w:kern w:val="2"/>
                <w:sz w:val="24"/>
                <w:szCs w:val="24"/>
                <w:lang w:val="zh-TW"/>
              </w:rPr>
              <w:t>组长</w:t>
            </w:r>
          </w:p>
        </w:tc>
        <w:tc>
          <w:tcPr>
            <w:tcW w:w="1200" w:type="dxa"/>
            <w:vAlign w:val="center"/>
          </w:tcPr>
          <w:p>
            <w:pPr>
              <w:pStyle w:val="141"/>
              <w:widowControl w:val="0"/>
              <w:spacing w:after="0" w:line="240" w:lineRule="auto"/>
              <w:jc w:val="both"/>
              <w:rPr>
                <w:rFonts w:hint="default" w:ascii="Times New Roman" w:hAnsi="Times New Roman" w:eastAsia="仿宋_GB2312" w:cs="Times New Roman"/>
                <w:color w:val="auto"/>
                <w:kern w:val="2"/>
                <w:sz w:val="24"/>
                <w:szCs w:val="24"/>
                <w:lang w:val="zh-TW" w:eastAsia="zh-CN"/>
              </w:rPr>
            </w:pPr>
            <w:r>
              <w:rPr>
                <w:rFonts w:hint="default" w:ascii="Times New Roman" w:hAnsi="Times New Roman" w:eastAsia="仿宋_GB2312" w:cs="Times New Roman"/>
                <w:color w:val="auto"/>
                <w:kern w:val="2"/>
                <w:sz w:val="24"/>
                <w:szCs w:val="24"/>
                <w:lang w:val="zh-TW" w:eastAsia="zh-CN"/>
              </w:rPr>
              <w:t>雷春春</w:t>
            </w:r>
          </w:p>
        </w:tc>
        <w:tc>
          <w:tcPr>
            <w:tcW w:w="2986" w:type="dxa"/>
            <w:vAlign w:val="center"/>
          </w:tcPr>
          <w:p>
            <w:pPr>
              <w:pStyle w:val="141"/>
              <w:widowControl w:val="0"/>
              <w:spacing w:after="0" w:line="240" w:lineRule="auto"/>
              <w:jc w:val="both"/>
              <w:rPr>
                <w:rFonts w:hint="default" w:ascii="Times New Roman" w:hAnsi="Times New Roman" w:eastAsia="仿宋_GB2312" w:cs="Times New Roman"/>
                <w:color w:val="auto"/>
                <w:kern w:val="2"/>
                <w:sz w:val="24"/>
                <w:szCs w:val="24"/>
                <w:lang w:val="zh-TW"/>
              </w:rPr>
            </w:pPr>
            <w:r>
              <w:rPr>
                <w:rFonts w:hint="default" w:ascii="Times New Roman" w:hAnsi="Times New Roman" w:eastAsia="仿宋_GB2312" w:cs="Times New Roman"/>
                <w:color w:val="auto"/>
                <w:kern w:val="2"/>
                <w:sz w:val="24"/>
                <w:szCs w:val="24"/>
                <w:lang w:val="zh-TW" w:eastAsia="zh-CN"/>
              </w:rPr>
              <w:t>市社科联办</w:t>
            </w:r>
            <w:r>
              <w:rPr>
                <w:rFonts w:hint="default" w:ascii="Times New Roman" w:hAnsi="Times New Roman" w:eastAsia="仿宋_GB2312" w:cs="Times New Roman"/>
                <w:color w:val="auto"/>
                <w:kern w:val="2"/>
                <w:sz w:val="24"/>
                <w:szCs w:val="24"/>
                <w:lang w:val="zh-TW"/>
              </w:rPr>
              <w:t>公室主任</w:t>
            </w:r>
          </w:p>
        </w:tc>
        <w:tc>
          <w:tcPr>
            <w:tcW w:w="2508" w:type="dxa"/>
            <w:vAlign w:val="center"/>
          </w:tcPr>
          <w:p>
            <w:pPr>
              <w:pStyle w:val="141"/>
              <w:widowControl w:val="0"/>
              <w:spacing w:after="0" w:line="240" w:lineRule="auto"/>
              <w:jc w:val="both"/>
              <w:rPr>
                <w:rFonts w:hint="default" w:ascii="Times New Roman" w:hAnsi="Times New Roman" w:eastAsia="仿宋_GB2312" w:cs="Times New Roman"/>
                <w:color w:val="auto"/>
                <w:kern w:val="2"/>
                <w:sz w:val="24"/>
                <w:szCs w:val="24"/>
                <w:lang w:val="zh-TW"/>
              </w:rPr>
            </w:pPr>
            <w:r>
              <w:rPr>
                <w:rFonts w:hint="default" w:ascii="Times New Roman" w:hAnsi="Times New Roman" w:eastAsia="仿宋_GB2312" w:cs="Times New Roman"/>
                <w:color w:val="auto"/>
                <w:kern w:val="2"/>
                <w:sz w:val="24"/>
                <w:szCs w:val="24"/>
                <w:lang w:val="zh-TW" w:eastAsia="zh-CN"/>
              </w:rPr>
              <w:t>市社科联办</w:t>
            </w:r>
            <w:r>
              <w:rPr>
                <w:rFonts w:hint="default" w:ascii="Times New Roman" w:hAnsi="Times New Roman" w:eastAsia="仿宋_GB2312" w:cs="Times New Roman"/>
                <w:color w:val="auto"/>
                <w:kern w:val="2"/>
                <w:sz w:val="24"/>
                <w:szCs w:val="24"/>
                <w:lang w:val="zh-TW"/>
              </w:rPr>
              <w:t>公室</w:t>
            </w:r>
          </w:p>
        </w:tc>
        <w:tc>
          <w:tcPr>
            <w:tcW w:w="1125" w:type="dxa"/>
            <w:vAlign w:val="center"/>
          </w:tcPr>
          <w:p>
            <w:pPr>
              <w:pStyle w:val="141"/>
              <w:widowControl w:val="0"/>
              <w:spacing w:after="0" w:line="240" w:lineRule="auto"/>
              <w:jc w:val="both"/>
              <w:rPr>
                <w:rFonts w:hint="default" w:ascii="Times New Roman" w:hAnsi="Times New Roman" w:eastAsia="仿宋_GB2312" w:cs="Times New Roman"/>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66" w:type="dxa"/>
            <w:vAlign w:val="center"/>
          </w:tcPr>
          <w:p>
            <w:pPr>
              <w:pStyle w:val="141"/>
              <w:widowControl w:val="0"/>
              <w:spacing w:after="0" w:line="360" w:lineRule="auto"/>
              <w:jc w:val="center"/>
              <w:rPr>
                <w:rFonts w:hint="default" w:ascii="Times New Roman" w:hAnsi="Times New Roman" w:eastAsia="仿宋" w:cs="Times New Roman"/>
                <w:color w:val="auto"/>
                <w:kern w:val="2"/>
                <w:sz w:val="24"/>
                <w:szCs w:val="24"/>
                <w:lang w:val="zh-TW"/>
              </w:rPr>
            </w:pPr>
            <w:r>
              <w:rPr>
                <w:rFonts w:hint="default" w:ascii="Times New Roman" w:hAnsi="Times New Roman" w:eastAsia="仿宋" w:cs="Times New Roman"/>
                <w:color w:val="auto"/>
                <w:kern w:val="2"/>
                <w:sz w:val="24"/>
                <w:szCs w:val="24"/>
                <w:lang w:val="zh-TW"/>
              </w:rPr>
              <w:t>副组长</w:t>
            </w:r>
          </w:p>
        </w:tc>
        <w:tc>
          <w:tcPr>
            <w:tcW w:w="1200"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CN"/>
              </w:rPr>
            </w:pPr>
            <w:r>
              <w:rPr>
                <w:rFonts w:hint="default" w:ascii="Times New Roman" w:hAnsi="Times New Roman" w:eastAsia="仿宋_GB2312" w:cs="Times New Roman"/>
                <w:color w:val="auto"/>
                <w:kern w:val="2"/>
                <w:sz w:val="24"/>
                <w:szCs w:val="24"/>
                <w:lang w:val="zh-TW" w:eastAsia="zh-CN"/>
              </w:rPr>
              <w:t>杨晓芸</w:t>
            </w:r>
          </w:p>
        </w:tc>
        <w:tc>
          <w:tcPr>
            <w:tcW w:w="2986"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rPr>
            </w:pPr>
            <w:r>
              <w:rPr>
                <w:rFonts w:hint="default" w:ascii="Times New Roman" w:hAnsi="Times New Roman" w:eastAsia="仿宋_GB2312" w:cs="Times New Roman"/>
                <w:color w:val="auto"/>
                <w:kern w:val="2"/>
                <w:sz w:val="24"/>
                <w:szCs w:val="24"/>
                <w:lang w:val="zh-TW" w:eastAsia="zh-CN"/>
              </w:rPr>
              <w:t>市社科联办</w:t>
            </w:r>
            <w:r>
              <w:rPr>
                <w:rFonts w:hint="default" w:ascii="Times New Roman" w:hAnsi="Times New Roman" w:eastAsia="仿宋_GB2312" w:cs="Times New Roman"/>
                <w:color w:val="auto"/>
                <w:kern w:val="2"/>
                <w:sz w:val="24"/>
                <w:szCs w:val="24"/>
                <w:lang w:val="zh-TW"/>
              </w:rPr>
              <w:t>公室副主任</w:t>
            </w:r>
          </w:p>
        </w:tc>
        <w:tc>
          <w:tcPr>
            <w:tcW w:w="2508"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rPr>
            </w:pPr>
            <w:r>
              <w:rPr>
                <w:rFonts w:hint="default" w:ascii="Times New Roman" w:hAnsi="Times New Roman" w:eastAsia="仿宋_GB2312" w:cs="Times New Roman"/>
                <w:color w:val="auto"/>
                <w:kern w:val="2"/>
                <w:sz w:val="24"/>
                <w:szCs w:val="24"/>
                <w:lang w:val="zh-TW" w:eastAsia="zh-CN"/>
              </w:rPr>
              <w:t>市社科联办</w:t>
            </w:r>
            <w:r>
              <w:rPr>
                <w:rFonts w:hint="default" w:ascii="Times New Roman" w:hAnsi="Times New Roman" w:eastAsia="仿宋_GB2312" w:cs="Times New Roman"/>
                <w:color w:val="auto"/>
                <w:kern w:val="2"/>
                <w:sz w:val="24"/>
                <w:szCs w:val="24"/>
                <w:lang w:val="zh-TW"/>
              </w:rPr>
              <w:t>公室</w:t>
            </w:r>
          </w:p>
        </w:tc>
        <w:tc>
          <w:tcPr>
            <w:tcW w:w="1125"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66" w:type="dxa"/>
            <w:vAlign w:val="center"/>
          </w:tcPr>
          <w:p>
            <w:pPr>
              <w:pStyle w:val="141"/>
              <w:widowControl w:val="0"/>
              <w:spacing w:after="0" w:line="360" w:lineRule="auto"/>
              <w:jc w:val="center"/>
              <w:rPr>
                <w:rFonts w:hint="default" w:ascii="Times New Roman" w:hAnsi="Times New Roman" w:eastAsia="仿宋" w:cs="Times New Roman"/>
                <w:color w:val="auto"/>
                <w:kern w:val="2"/>
                <w:sz w:val="24"/>
                <w:szCs w:val="24"/>
                <w:lang w:val="zh-TW" w:eastAsia="zh-CN"/>
              </w:rPr>
            </w:pPr>
            <w:r>
              <w:rPr>
                <w:rFonts w:hint="default" w:ascii="Times New Roman" w:hAnsi="Times New Roman" w:eastAsia="仿宋" w:cs="Times New Roman"/>
                <w:color w:val="auto"/>
                <w:kern w:val="2"/>
                <w:sz w:val="24"/>
                <w:szCs w:val="24"/>
                <w:lang w:val="zh-TW" w:eastAsia="zh-CN"/>
              </w:rPr>
              <w:t>成员</w:t>
            </w:r>
          </w:p>
        </w:tc>
        <w:tc>
          <w:tcPr>
            <w:tcW w:w="1200"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CN"/>
              </w:rPr>
            </w:pPr>
            <w:r>
              <w:rPr>
                <w:rFonts w:hint="default" w:ascii="Times New Roman" w:hAnsi="Times New Roman" w:eastAsia="仿宋_GB2312" w:cs="Times New Roman"/>
                <w:color w:val="auto"/>
                <w:kern w:val="2"/>
                <w:sz w:val="24"/>
                <w:szCs w:val="24"/>
                <w:lang w:val="zh-TW" w:eastAsia="zh-CN"/>
              </w:rPr>
              <w:t>李</w:t>
            </w:r>
            <w:r>
              <w:rPr>
                <w:rFonts w:hint="default" w:ascii="Times New Roman" w:hAnsi="Times New Roman" w:eastAsia="仿宋_GB2312" w:cs="Times New Roman"/>
                <w:color w:val="auto"/>
                <w:kern w:val="2"/>
                <w:sz w:val="24"/>
                <w:szCs w:val="24"/>
                <w:lang w:val="en-US" w:eastAsia="zh-CN"/>
              </w:rPr>
              <w:t xml:space="preserve">  </w:t>
            </w:r>
            <w:r>
              <w:rPr>
                <w:rFonts w:hint="default" w:ascii="Times New Roman" w:hAnsi="Times New Roman" w:eastAsia="仿宋_GB2312" w:cs="Times New Roman"/>
                <w:color w:val="auto"/>
                <w:kern w:val="2"/>
                <w:sz w:val="24"/>
                <w:szCs w:val="24"/>
                <w:lang w:val="zh-TW" w:eastAsia="zh-CN"/>
              </w:rPr>
              <w:t>祥</w:t>
            </w:r>
          </w:p>
        </w:tc>
        <w:tc>
          <w:tcPr>
            <w:tcW w:w="2986"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CN"/>
              </w:rPr>
            </w:pPr>
            <w:r>
              <w:rPr>
                <w:rFonts w:hint="default" w:ascii="Times New Roman" w:hAnsi="Times New Roman" w:eastAsia="仿宋_GB2312" w:cs="Times New Roman"/>
                <w:color w:val="auto"/>
                <w:kern w:val="2"/>
                <w:sz w:val="24"/>
                <w:szCs w:val="24"/>
                <w:lang w:val="zh-TW" w:eastAsia="zh-CN"/>
              </w:rPr>
              <w:t>市社科联党组成员副主席</w:t>
            </w:r>
          </w:p>
        </w:tc>
        <w:tc>
          <w:tcPr>
            <w:tcW w:w="2508"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CN"/>
              </w:rPr>
            </w:pPr>
            <w:r>
              <w:rPr>
                <w:rFonts w:hint="default" w:ascii="Times New Roman" w:hAnsi="Times New Roman" w:eastAsia="仿宋_GB2312" w:cs="Times New Roman"/>
                <w:color w:val="auto"/>
                <w:kern w:val="2"/>
                <w:sz w:val="24"/>
                <w:szCs w:val="24"/>
                <w:lang w:val="zh-TW" w:eastAsia="zh-CN"/>
              </w:rPr>
              <w:t>市社科联党组</w:t>
            </w:r>
          </w:p>
        </w:tc>
        <w:tc>
          <w:tcPr>
            <w:tcW w:w="1125"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66" w:type="dxa"/>
            <w:vAlign w:val="center"/>
          </w:tcPr>
          <w:p>
            <w:pPr>
              <w:pStyle w:val="141"/>
              <w:widowControl w:val="0"/>
              <w:spacing w:after="0" w:line="360" w:lineRule="auto"/>
              <w:jc w:val="center"/>
              <w:rPr>
                <w:rFonts w:hint="default" w:ascii="Times New Roman" w:hAnsi="Times New Roman" w:eastAsia="仿宋" w:cs="Times New Roman"/>
                <w:color w:val="auto"/>
                <w:kern w:val="2"/>
                <w:sz w:val="24"/>
                <w:szCs w:val="24"/>
                <w:lang w:val="zh-TW"/>
              </w:rPr>
            </w:pPr>
            <w:r>
              <w:rPr>
                <w:rFonts w:hint="default" w:ascii="Times New Roman" w:hAnsi="Times New Roman" w:eastAsia="仿宋" w:cs="Times New Roman"/>
                <w:color w:val="auto"/>
                <w:kern w:val="2"/>
                <w:sz w:val="24"/>
                <w:szCs w:val="24"/>
                <w:lang w:val="zh-TW"/>
              </w:rPr>
              <w:t>成员</w:t>
            </w:r>
          </w:p>
        </w:tc>
        <w:tc>
          <w:tcPr>
            <w:tcW w:w="1200"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CN"/>
              </w:rPr>
            </w:pPr>
            <w:r>
              <w:rPr>
                <w:rFonts w:hint="default" w:ascii="Times New Roman" w:hAnsi="Times New Roman" w:eastAsia="仿宋_GB2312" w:cs="Times New Roman"/>
                <w:color w:val="auto"/>
                <w:kern w:val="2"/>
                <w:sz w:val="24"/>
                <w:szCs w:val="24"/>
                <w:lang w:val="zh-TW" w:eastAsia="zh-CN"/>
              </w:rPr>
              <w:t>张学琼</w:t>
            </w:r>
          </w:p>
        </w:tc>
        <w:tc>
          <w:tcPr>
            <w:tcW w:w="2986"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CN"/>
              </w:rPr>
            </w:pPr>
            <w:r>
              <w:rPr>
                <w:rFonts w:hint="default" w:ascii="Times New Roman" w:hAnsi="Times New Roman" w:eastAsia="仿宋_GB2312" w:cs="Times New Roman"/>
                <w:color w:val="auto"/>
                <w:kern w:val="2"/>
                <w:sz w:val="24"/>
                <w:szCs w:val="24"/>
                <w:lang w:val="zh-TW" w:eastAsia="zh-CN"/>
              </w:rPr>
              <w:t>市社科联学会部部长</w:t>
            </w:r>
          </w:p>
        </w:tc>
        <w:tc>
          <w:tcPr>
            <w:tcW w:w="2508"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CN"/>
              </w:rPr>
            </w:pPr>
            <w:r>
              <w:rPr>
                <w:rFonts w:hint="default" w:ascii="Times New Roman" w:hAnsi="Times New Roman" w:eastAsia="仿宋_GB2312" w:cs="Times New Roman"/>
                <w:color w:val="auto"/>
                <w:kern w:val="2"/>
                <w:sz w:val="24"/>
                <w:szCs w:val="24"/>
                <w:lang w:val="zh-TW" w:eastAsia="zh-CN"/>
              </w:rPr>
              <w:t>市社科联学会部</w:t>
            </w:r>
          </w:p>
        </w:tc>
        <w:tc>
          <w:tcPr>
            <w:tcW w:w="1125"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66" w:type="dxa"/>
            <w:vAlign w:val="center"/>
          </w:tcPr>
          <w:p>
            <w:pPr>
              <w:pStyle w:val="141"/>
              <w:widowControl w:val="0"/>
              <w:spacing w:after="0" w:line="360" w:lineRule="auto"/>
              <w:jc w:val="center"/>
              <w:rPr>
                <w:rFonts w:hint="default" w:ascii="Times New Roman" w:hAnsi="Times New Roman" w:eastAsia="仿宋" w:cs="Times New Roman"/>
                <w:color w:val="auto"/>
                <w:kern w:val="2"/>
                <w:sz w:val="24"/>
                <w:szCs w:val="24"/>
                <w:lang w:val="zh-TW"/>
              </w:rPr>
            </w:pPr>
            <w:r>
              <w:rPr>
                <w:rFonts w:hint="default" w:ascii="Times New Roman" w:hAnsi="Times New Roman" w:eastAsia="仿宋" w:cs="Times New Roman"/>
                <w:color w:val="auto"/>
                <w:kern w:val="2"/>
                <w:sz w:val="24"/>
                <w:szCs w:val="24"/>
                <w:lang w:val="zh-TW"/>
              </w:rPr>
              <w:t>成员</w:t>
            </w:r>
          </w:p>
        </w:tc>
        <w:tc>
          <w:tcPr>
            <w:tcW w:w="1200"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CN"/>
              </w:rPr>
            </w:pPr>
            <w:r>
              <w:rPr>
                <w:rFonts w:hint="default" w:ascii="Times New Roman" w:hAnsi="Times New Roman" w:eastAsia="仿宋_GB2312" w:cs="Times New Roman"/>
                <w:color w:val="auto"/>
                <w:kern w:val="2"/>
                <w:sz w:val="24"/>
                <w:szCs w:val="24"/>
                <w:lang w:val="zh-TW" w:eastAsia="zh-CN"/>
              </w:rPr>
              <w:t>马颂梅</w:t>
            </w:r>
          </w:p>
        </w:tc>
        <w:tc>
          <w:tcPr>
            <w:tcW w:w="2986"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CN"/>
              </w:rPr>
            </w:pPr>
            <w:r>
              <w:rPr>
                <w:rFonts w:hint="default" w:ascii="Times New Roman" w:hAnsi="Times New Roman" w:eastAsia="仿宋_GB2312" w:cs="Times New Roman"/>
                <w:color w:val="auto"/>
                <w:kern w:val="2"/>
                <w:sz w:val="24"/>
                <w:szCs w:val="24"/>
                <w:lang w:val="zh-TW" w:eastAsia="zh-CN"/>
              </w:rPr>
              <w:t>市社科联科研部部长</w:t>
            </w:r>
          </w:p>
        </w:tc>
        <w:tc>
          <w:tcPr>
            <w:tcW w:w="2508"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CN"/>
              </w:rPr>
            </w:pPr>
            <w:r>
              <w:rPr>
                <w:rFonts w:hint="default" w:ascii="Times New Roman" w:hAnsi="Times New Roman" w:eastAsia="仿宋_GB2312" w:cs="Times New Roman"/>
                <w:color w:val="auto"/>
                <w:kern w:val="2"/>
                <w:sz w:val="24"/>
                <w:szCs w:val="24"/>
                <w:lang w:val="zh-TW" w:eastAsia="zh-CN"/>
              </w:rPr>
              <w:t>市社科联科研部</w:t>
            </w:r>
          </w:p>
        </w:tc>
        <w:tc>
          <w:tcPr>
            <w:tcW w:w="1125"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66" w:type="dxa"/>
            <w:vAlign w:val="center"/>
          </w:tcPr>
          <w:p>
            <w:pPr>
              <w:pStyle w:val="141"/>
              <w:widowControl w:val="0"/>
              <w:spacing w:after="0" w:line="360" w:lineRule="auto"/>
              <w:jc w:val="center"/>
              <w:rPr>
                <w:rFonts w:hint="default" w:ascii="Times New Roman" w:hAnsi="Times New Roman" w:eastAsia="仿宋" w:cs="Times New Roman"/>
                <w:color w:val="auto"/>
                <w:kern w:val="2"/>
                <w:sz w:val="24"/>
                <w:szCs w:val="24"/>
                <w:lang w:val="zh-TW"/>
              </w:rPr>
            </w:pPr>
            <w:r>
              <w:rPr>
                <w:rFonts w:hint="default" w:ascii="Times New Roman" w:hAnsi="Times New Roman" w:eastAsia="仿宋" w:cs="Times New Roman"/>
                <w:color w:val="auto"/>
                <w:kern w:val="2"/>
                <w:sz w:val="24"/>
                <w:szCs w:val="24"/>
                <w:lang w:val="zh-TW"/>
              </w:rPr>
              <w:t>成员</w:t>
            </w:r>
          </w:p>
        </w:tc>
        <w:tc>
          <w:tcPr>
            <w:tcW w:w="1200"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CN"/>
              </w:rPr>
            </w:pPr>
            <w:r>
              <w:rPr>
                <w:rFonts w:hint="default" w:ascii="Times New Roman" w:hAnsi="Times New Roman" w:eastAsia="仿宋_GB2312" w:cs="Times New Roman"/>
                <w:color w:val="auto"/>
                <w:kern w:val="2"/>
                <w:sz w:val="24"/>
                <w:szCs w:val="24"/>
                <w:lang w:val="zh-TW" w:eastAsia="zh-CN"/>
              </w:rPr>
              <w:t>张海燕</w:t>
            </w:r>
          </w:p>
        </w:tc>
        <w:tc>
          <w:tcPr>
            <w:tcW w:w="2986"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CN"/>
              </w:rPr>
            </w:pPr>
            <w:r>
              <w:rPr>
                <w:rFonts w:hint="default" w:ascii="Times New Roman" w:hAnsi="Times New Roman" w:eastAsia="仿宋_GB2312" w:cs="Times New Roman"/>
                <w:color w:val="auto"/>
                <w:kern w:val="2"/>
                <w:sz w:val="24"/>
                <w:szCs w:val="24"/>
                <w:lang w:val="zh-TW" w:eastAsia="zh-CN"/>
              </w:rPr>
              <w:t>市社科联科普部部长</w:t>
            </w:r>
          </w:p>
        </w:tc>
        <w:tc>
          <w:tcPr>
            <w:tcW w:w="2508"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CN"/>
              </w:rPr>
            </w:pPr>
            <w:r>
              <w:rPr>
                <w:rFonts w:hint="default" w:ascii="Times New Roman" w:hAnsi="Times New Roman" w:eastAsia="仿宋_GB2312" w:cs="Times New Roman"/>
                <w:color w:val="auto"/>
                <w:kern w:val="2"/>
                <w:sz w:val="24"/>
                <w:szCs w:val="24"/>
                <w:lang w:val="zh-TW" w:eastAsia="zh-CN"/>
              </w:rPr>
              <w:t>市社科联科普部</w:t>
            </w:r>
          </w:p>
        </w:tc>
        <w:tc>
          <w:tcPr>
            <w:tcW w:w="1125"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66" w:type="dxa"/>
            <w:vAlign w:val="center"/>
          </w:tcPr>
          <w:p>
            <w:pPr>
              <w:pStyle w:val="141"/>
              <w:widowControl w:val="0"/>
              <w:spacing w:after="0" w:line="360" w:lineRule="auto"/>
              <w:jc w:val="center"/>
              <w:rPr>
                <w:rFonts w:hint="default" w:ascii="Times New Roman" w:hAnsi="Times New Roman" w:eastAsia="仿宋" w:cs="Times New Roman"/>
                <w:color w:val="auto"/>
                <w:kern w:val="2"/>
                <w:sz w:val="24"/>
                <w:szCs w:val="24"/>
                <w:lang w:val="zh-TW"/>
              </w:rPr>
            </w:pPr>
            <w:r>
              <w:rPr>
                <w:rFonts w:hint="default" w:ascii="Times New Roman" w:hAnsi="Times New Roman" w:eastAsia="仿宋" w:cs="Times New Roman"/>
                <w:color w:val="auto"/>
                <w:kern w:val="2"/>
                <w:sz w:val="24"/>
                <w:szCs w:val="24"/>
                <w:lang w:val="zh-TW"/>
              </w:rPr>
              <w:t>成员</w:t>
            </w:r>
          </w:p>
        </w:tc>
        <w:tc>
          <w:tcPr>
            <w:tcW w:w="1200"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CN"/>
              </w:rPr>
            </w:pPr>
            <w:r>
              <w:rPr>
                <w:rFonts w:hint="default" w:ascii="Times New Roman" w:hAnsi="Times New Roman" w:eastAsia="仿宋_GB2312" w:cs="Times New Roman"/>
                <w:color w:val="auto"/>
                <w:kern w:val="2"/>
                <w:sz w:val="24"/>
                <w:szCs w:val="24"/>
                <w:lang w:val="zh-TW" w:eastAsia="zh-CN"/>
              </w:rPr>
              <w:t>董</w:t>
            </w:r>
            <w:r>
              <w:rPr>
                <w:rFonts w:hint="default" w:ascii="Times New Roman" w:hAnsi="Times New Roman" w:eastAsia="仿宋_GB2312" w:cs="Times New Roman"/>
                <w:color w:val="auto"/>
                <w:kern w:val="2"/>
                <w:sz w:val="24"/>
                <w:szCs w:val="24"/>
                <w:lang w:val="en-US" w:eastAsia="zh-CN"/>
              </w:rPr>
              <w:t xml:space="preserve">  </w:t>
            </w:r>
            <w:r>
              <w:rPr>
                <w:rFonts w:hint="default" w:ascii="Times New Roman" w:hAnsi="Times New Roman" w:eastAsia="仿宋_GB2312" w:cs="Times New Roman"/>
                <w:color w:val="auto"/>
                <w:kern w:val="2"/>
                <w:sz w:val="24"/>
                <w:szCs w:val="24"/>
                <w:lang w:val="zh-TW" w:eastAsia="zh-CN"/>
              </w:rPr>
              <w:t>毅</w:t>
            </w:r>
          </w:p>
        </w:tc>
        <w:tc>
          <w:tcPr>
            <w:tcW w:w="2986"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rPr>
            </w:pPr>
            <w:r>
              <w:rPr>
                <w:rFonts w:hint="default" w:ascii="Times New Roman" w:hAnsi="Times New Roman" w:eastAsia="仿宋_GB2312" w:cs="Times New Roman"/>
                <w:color w:val="auto"/>
                <w:kern w:val="2"/>
                <w:sz w:val="24"/>
                <w:szCs w:val="24"/>
                <w:lang w:val="zh-TW" w:eastAsia="zh-CN"/>
              </w:rPr>
              <w:t>市社科联编辑调研室主任</w:t>
            </w:r>
          </w:p>
        </w:tc>
        <w:tc>
          <w:tcPr>
            <w:tcW w:w="2508"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rPr>
            </w:pPr>
            <w:r>
              <w:rPr>
                <w:rFonts w:hint="default" w:ascii="Times New Roman" w:hAnsi="Times New Roman" w:eastAsia="仿宋_GB2312" w:cs="Times New Roman"/>
                <w:color w:val="auto"/>
                <w:kern w:val="2"/>
                <w:sz w:val="24"/>
                <w:szCs w:val="24"/>
                <w:lang w:val="zh-TW" w:eastAsia="zh-CN"/>
              </w:rPr>
              <w:t>市社科联编辑调研室</w:t>
            </w:r>
          </w:p>
        </w:tc>
        <w:tc>
          <w:tcPr>
            <w:tcW w:w="1125"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66" w:type="dxa"/>
            <w:vAlign w:val="center"/>
          </w:tcPr>
          <w:p>
            <w:pPr>
              <w:pStyle w:val="141"/>
              <w:widowControl w:val="0"/>
              <w:spacing w:after="0" w:line="360" w:lineRule="auto"/>
              <w:jc w:val="center"/>
              <w:rPr>
                <w:rFonts w:hint="default" w:ascii="Times New Roman" w:hAnsi="Times New Roman" w:eastAsia="仿宋" w:cs="Times New Roman"/>
                <w:color w:val="auto"/>
                <w:kern w:val="2"/>
                <w:sz w:val="24"/>
                <w:szCs w:val="24"/>
                <w:lang w:val="zh-TW"/>
              </w:rPr>
            </w:pPr>
            <w:r>
              <w:rPr>
                <w:rFonts w:hint="default" w:ascii="Times New Roman" w:hAnsi="Times New Roman" w:eastAsia="仿宋" w:cs="Times New Roman"/>
                <w:color w:val="auto"/>
                <w:kern w:val="2"/>
                <w:sz w:val="24"/>
                <w:szCs w:val="24"/>
                <w:lang w:val="zh-TW"/>
              </w:rPr>
              <w:t>成员</w:t>
            </w:r>
          </w:p>
        </w:tc>
        <w:tc>
          <w:tcPr>
            <w:tcW w:w="1200"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CN"/>
              </w:rPr>
            </w:pPr>
            <w:r>
              <w:rPr>
                <w:rFonts w:hint="default" w:ascii="Times New Roman" w:hAnsi="Times New Roman" w:eastAsia="仿宋_GB2312" w:cs="Times New Roman"/>
                <w:color w:val="auto"/>
                <w:kern w:val="2"/>
                <w:sz w:val="24"/>
                <w:szCs w:val="24"/>
                <w:lang w:val="zh-TW" w:eastAsia="zh-CN"/>
              </w:rPr>
              <w:t>赵晓春</w:t>
            </w:r>
          </w:p>
        </w:tc>
        <w:tc>
          <w:tcPr>
            <w:tcW w:w="2986"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CN"/>
              </w:rPr>
            </w:pPr>
            <w:r>
              <w:rPr>
                <w:rFonts w:hint="default" w:ascii="Times New Roman" w:hAnsi="Times New Roman" w:eastAsia="仿宋_GB2312" w:cs="Times New Roman"/>
                <w:color w:val="auto"/>
                <w:kern w:val="2"/>
                <w:sz w:val="24"/>
                <w:szCs w:val="24"/>
                <w:lang w:val="zh-TW" w:eastAsia="zh-CN"/>
              </w:rPr>
              <w:t>市社科联办公室职工</w:t>
            </w:r>
          </w:p>
        </w:tc>
        <w:tc>
          <w:tcPr>
            <w:tcW w:w="2508"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CN"/>
              </w:rPr>
            </w:pPr>
            <w:r>
              <w:rPr>
                <w:rFonts w:hint="default" w:ascii="Times New Roman" w:hAnsi="Times New Roman" w:eastAsia="仿宋_GB2312" w:cs="Times New Roman"/>
                <w:color w:val="auto"/>
                <w:kern w:val="2"/>
                <w:sz w:val="24"/>
                <w:szCs w:val="24"/>
                <w:lang w:val="zh-TW" w:eastAsia="zh-CN"/>
              </w:rPr>
              <w:t>市社科联办</w:t>
            </w:r>
            <w:r>
              <w:rPr>
                <w:rFonts w:hint="default" w:ascii="Times New Roman" w:hAnsi="Times New Roman" w:eastAsia="仿宋_GB2312" w:cs="Times New Roman"/>
                <w:color w:val="auto"/>
                <w:kern w:val="2"/>
                <w:sz w:val="24"/>
                <w:szCs w:val="24"/>
                <w:lang w:val="zh-TW"/>
              </w:rPr>
              <w:t>公室</w:t>
            </w:r>
          </w:p>
        </w:tc>
        <w:tc>
          <w:tcPr>
            <w:tcW w:w="1125"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66" w:type="dxa"/>
            <w:vAlign w:val="center"/>
          </w:tcPr>
          <w:p>
            <w:pPr>
              <w:pStyle w:val="141"/>
              <w:widowControl w:val="0"/>
              <w:spacing w:after="0" w:line="360" w:lineRule="auto"/>
              <w:jc w:val="center"/>
              <w:rPr>
                <w:rFonts w:hint="default" w:ascii="Times New Roman" w:hAnsi="Times New Roman" w:eastAsia="仿宋" w:cs="Times New Roman"/>
                <w:color w:val="auto"/>
                <w:kern w:val="2"/>
                <w:sz w:val="24"/>
                <w:szCs w:val="24"/>
                <w:u w:color="000000"/>
                <w:lang w:val="zh-TW" w:eastAsia="zh-CN" w:bidi="ar-SA"/>
              </w:rPr>
            </w:pPr>
            <w:r>
              <w:rPr>
                <w:rFonts w:hint="default" w:ascii="Times New Roman" w:hAnsi="Times New Roman" w:eastAsia="仿宋" w:cs="Times New Roman"/>
                <w:color w:val="auto"/>
                <w:kern w:val="2"/>
                <w:sz w:val="24"/>
                <w:szCs w:val="24"/>
                <w:lang w:val="zh-TW"/>
              </w:rPr>
              <w:t>成员</w:t>
            </w:r>
          </w:p>
        </w:tc>
        <w:tc>
          <w:tcPr>
            <w:tcW w:w="1200"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u w:color="000000"/>
                <w:lang w:val="zh-TW" w:eastAsia="zh-CN" w:bidi="ar-SA"/>
              </w:rPr>
            </w:pPr>
            <w:r>
              <w:rPr>
                <w:rFonts w:hint="default" w:ascii="Times New Roman" w:hAnsi="Times New Roman" w:eastAsia="仿宋_GB2312" w:cs="Times New Roman"/>
                <w:color w:val="auto"/>
                <w:kern w:val="2"/>
                <w:sz w:val="24"/>
                <w:szCs w:val="24"/>
                <w:lang w:val="zh-TW" w:eastAsia="zh-CN"/>
              </w:rPr>
              <w:t>卯伶影</w:t>
            </w:r>
          </w:p>
        </w:tc>
        <w:tc>
          <w:tcPr>
            <w:tcW w:w="2986" w:type="dxa"/>
            <w:vAlign w:val="center"/>
          </w:tcPr>
          <w:p>
            <w:pPr>
              <w:pStyle w:val="141"/>
              <w:widowControl w:val="0"/>
              <w:spacing w:after="0" w:line="360" w:lineRule="auto"/>
              <w:jc w:val="both"/>
              <w:rPr>
                <w:rFonts w:hint="default" w:ascii="Times New Roman" w:hAnsi="Times New Roman" w:eastAsia="仿宋_GB2312" w:cs="Times New Roman"/>
                <w:color w:val="auto"/>
                <w:spacing w:val="-20"/>
                <w:kern w:val="2"/>
                <w:sz w:val="24"/>
                <w:szCs w:val="24"/>
                <w:u w:color="000000"/>
                <w:lang w:val="zh-TW" w:eastAsia="zh-CN" w:bidi="ar-SA"/>
              </w:rPr>
            </w:pPr>
            <w:r>
              <w:rPr>
                <w:rFonts w:hint="default" w:ascii="Times New Roman" w:hAnsi="Times New Roman" w:eastAsia="仿宋_GB2312" w:cs="Times New Roman"/>
                <w:color w:val="auto"/>
                <w:spacing w:val="-20"/>
                <w:kern w:val="2"/>
                <w:sz w:val="24"/>
                <w:szCs w:val="24"/>
                <w:lang w:val="zh-TW" w:eastAsia="zh-CN"/>
              </w:rPr>
              <w:t>市社科联办公室三级主任科员</w:t>
            </w:r>
          </w:p>
        </w:tc>
        <w:tc>
          <w:tcPr>
            <w:tcW w:w="2508"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u w:color="000000"/>
                <w:lang w:val="zh-TW" w:eastAsia="zh-CN" w:bidi="ar-SA"/>
              </w:rPr>
            </w:pPr>
            <w:r>
              <w:rPr>
                <w:rFonts w:hint="default" w:ascii="Times New Roman" w:hAnsi="Times New Roman" w:eastAsia="仿宋_GB2312" w:cs="Times New Roman"/>
                <w:color w:val="auto"/>
                <w:kern w:val="2"/>
                <w:sz w:val="24"/>
                <w:szCs w:val="24"/>
                <w:lang w:val="zh-TW" w:eastAsia="zh-CN"/>
              </w:rPr>
              <w:t>市社科联办</w:t>
            </w:r>
            <w:r>
              <w:rPr>
                <w:rFonts w:hint="default" w:ascii="Times New Roman" w:hAnsi="Times New Roman" w:eastAsia="仿宋_GB2312" w:cs="Times New Roman"/>
                <w:color w:val="auto"/>
                <w:kern w:val="2"/>
                <w:sz w:val="24"/>
                <w:szCs w:val="24"/>
                <w:lang w:val="zh-TW"/>
              </w:rPr>
              <w:t>公室</w:t>
            </w:r>
          </w:p>
        </w:tc>
        <w:tc>
          <w:tcPr>
            <w:tcW w:w="1125" w:type="dxa"/>
            <w:vAlign w:val="center"/>
          </w:tcPr>
          <w:p>
            <w:pPr>
              <w:pStyle w:val="141"/>
              <w:widowControl w:val="0"/>
              <w:spacing w:after="0" w:line="360" w:lineRule="auto"/>
              <w:jc w:val="both"/>
              <w:rPr>
                <w:rFonts w:hint="default" w:ascii="Times New Roman" w:hAnsi="Times New Roman" w:eastAsia="仿宋_GB2312" w:cs="Times New Roman"/>
                <w:color w:val="auto"/>
                <w:kern w:val="2"/>
                <w:sz w:val="24"/>
                <w:szCs w:val="24"/>
                <w:u w:color="000000"/>
                <w:lang w:val="zh-TW" w:eastAsia="zh-TW"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9085" w:type="dxa"/>
            <w:gridSpan w:val="5"/>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rPr>
            </w:pPr>
            <w:r>
              <w:rPr>
                <w:rFonts w:hint="default" w:ascii="Times New Roman" w:hAnsi="Times New Roman" w:eastAsia="仿宋_GB2312" w:cs="Times New Roman"/>
                <w:color w:val="auto"/>
                <w:kern w:val="2"/>
                <w:sz w:val="24"/>
                <w:szCs w:val="24"/>
                <w:lang w:val="zh-TW"/>
              </w:rPr>
              <w:t>报告撰写人（签字）：</w:t>
            </w:r>
          </w:p>
          <w:p>
            <w:pPr>
              <w:pStyle w:val="141"/>
              <w:widowControl w:val="0"/>
              <w:spacing w:after="0" w:line="360" w:lineRule="auto"/>
              <w:jc w:val="both"/>
              <w:rPr>
                <w:rFonts w:hint="default" w:ascii="Times New Roman" w:hAnsi="Times New Roman" w:eastAsia="仿宋_GB2312" w:cs="Times New Roman"/>
                <w:color w:val="auto"/>
                <w:kern w:val="2"/>
                <w:sz w:val="24"/>
                <w:szCs w:val="24"/>
                <w:lang w:val="zh-TW"/>
              </w:rPr>
            </w:pPr>
          </w:p>
          <w:p>
            <w:pPr>
              <w:pStyle w:val="141"/>
              <w:widowControl w:val="0"/>
              <w:spacing w:after="0" w:line="360" w:lineRule="auto"/>
              <w:jc w:val="both"/>
              <w:rPr>
                <w:rFonts w:hint="default" w:ascii="Times New Roman" w:hAnsi="Times New Roman" w:eastAsia="仿宋_GB2312" w:cs="Times New Roman"/>
                <w:color w:val="auto"/>
                <w:kern w:val="2"/>
                <w:sz w:val="24"/>
                <w:szCs w:val="24"/>
                <w:lang w:val="zh-TW"/>
              </w:rPr>
            </w:pPr>
          </w:p>
          <w:p>
            <w:pPr>
              <w:pStyle w:val="141"/>
              <w:widowControl w:val="0"/>
              <w:wordWrap w:val="0"/>
              <w:spacing w:after="0" w:line="360" w:lineRule="auto"/>
              <w:ind w:right="960" w:firstLine="5520" w:firstLineChars="2300"/>
              <w:rPr>
                <w:rFonts w:hint="default" w:ascii="Times New Roman" w:hAnsi="Times New Roman" w:eastAsia="仿宋_GB2312" w:cs="Times New Roman"/>
                <w:color w:val="auto"/>
                <w:kern w:val="2"/>
                <w:sz w:val="24"/>
                <w:szCs w:val="24"/>
                <w:lang w:val="zh-TW"/>
              </w:rPr>
            </w:pPr>
            <w:r>
              <w:rPr>
                <w:rFonts w:hint="default" w:ascii="Times New Roman" w:hAnsi="Times New Roman" w:eastAsia="仿宋_GB2312" w:cs="Times New Roman"/>
                <w:color w:val="auto"/>
                <w:kern w:val="2"/>
                <w:sz w:val="24"/>
                <w:szCs w:val="24"/>
                <w:lang w:val="zh-TW"/>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9085" w:type="dxa"/>
            <w:gridSpan w:val="5"/>
          </w:tcPr>
          <w:p>
            <w:pPr>
              <w:pStyle w:val="141"/>
              <w:widowControl w:val="0"/>
              <w:spacing w:after="0" w:line="360" w:lineRule="auto"/>
              <w:jc w:val="both"/>
              <w:rPr>
                <w:rFonts w:hint="default" w:ascii="Times New Roman" w:hAnsi="Times New Roman" w:eastAsia="仿宋_GB2312" w:cs="Times New Roman"/>
                <w:color w:val="auto"/>
                <w:kern w:val="2"/>
                <w:sz w:val="24"/>
                <w:szCs w:val="24"/>
                <w:lang w:val="zh-TW"/>
              </w:rPr>
            </w:pPr>
            <w:r>
              <w:rPr>
                <w:rFonts w:hint="default" w:ascii="Times New Roman" w:hAnsi="Times New Roman" w:eastAsia="仿宋_GB2312" w:cs="Times New Roman"/>
                <w:color w:val="auto"/>
                <w:kern w:val="2"/>
                <w:sz w:val="24"/>
                <w:szCs w:val="24"/>
                <w:lang w:val="zh-TW"/>
              </w:rPr>
              <w:t>评价工作负责人（签字）：</w:t>
            </w:r>
          </w:p>
          <w:p>
            <w:pPr>
              <w:pStyle w:val="141"/>
              <w:widowControl w:val="0"/>
              <w:spacing w:after="0" w:line="360" w:lineRule="auto"/>
              <w:jc w:val="both"/>
              <w:rPr>
                <w:rFonts w:hint="default" w:ascii="Times New Roman" w:hAnsi="Times New Roman" w:eastAsia="仿宋_GB2312" w:cs="Times New Roman"/>
                <w:color w:val="auto"/>
                <w:kern w:val="2"/>
                <w:sz w:val="24"/>
                <w:szCs w:val="24"/>
                <w:lang w:val="zh-TW"/>
              </w:rPr>
            </w:pPr>
          </w:p>
          <w:p>
            <w:pPr>
              <w:pStyle w:val="141"/>
              <w:widowControl w:val="0"/>
              <w:tabs>
                <w:tab w:val="left" w:pos="7560"/>
                <w:tab w:val="right" w:pos="8397"/>
              </w:tabs>
              <w:wordWrap w:val="0"/>
              <w:spacing w:after="0" w:line="360" w:lineRule="auto"/>
              <w:rPr>
                <w:rFonts w:hint="default" w:ascii="Times New Roman" w:hAnsi="Times New Roman" w:eastAsia="仿宋_GB2312" w:cs="Times New Roman"/>
                <w:color w:val="auto"/>
                <w:kern w:val="2"/>
                <w:sz w:val="24"/>
                <w:szCs w:val="24"/>
                <w:lang w:val="zh-TW"/>
              </w:rPr>
            </w:pPr>
          </w:p>
          <w:p>
            <w:pPr>
              <w:pStyle w:val="141"/>
              <w:widowControl w:val="0"/>
              <w:tabs>
                <w:tab w:val="left" w:pos="7560"/>
                <w:tab w:val="right" w:pos="8397"/>
              </w:tabs>
              <w:wordWrap w:val="0"/>
              <w:spacing w:after="0" w:line="360" w:lineRule="auto"/>
              <w:ind w:firstLine="5520" w:firstLineChars="2300"/>
              <w:rPr>
                <w:rFonts w:hint="default" w:ascii="Times New Roman" w:hAnsi="Times New Roman" w:eastAsia="仿宋_GB2312" w:cs="Times New Roman"/>
                <w:color w:val="auto"/>
                <w:kern w:val="2"/>
                <w:sz w:val="24"/>
                <w:szCs w:val="24"/>
                <w:lang w:val="zh-TW"/>
              </w:rPr>
            </w:pPr>
            <w:r>
              <w:rPr>
                <w:rFonts w:hint="default" w:ascii="Times New Roman" w:hAnsi="Times New Roman" w:eastAsia="仿宋_GB2312" w:cs="Times New Roman"/>
                <w:color w:val="auto"/>
                <w:kern w:val="2"/>
                <w:sz w:val="24"/>
                <w:szCs w:val="24"/>
                <w:lang w:val="zh-TW"/>
              </w:rPr>
              <w:t xml:space="preserve">年  </w:t>
            </w:r>
            <w:r>
              <w:rPr>
                <w:rFonts w:hint="default" w:ascii="Times New Roman" w:hAnsi="Times New Roman" w:eastAsia="PMingLiU" w:cs="Times New Roman"/>
                <w:color w:val="auto"/>
                <w:kern w:val="2"/>
                <w:sz w:val="24"/>
                <w:szCs w:val="24"/>
                <w:lang w:val="zh-TW" w:eastAsia="zh-TW"/>
              </w:rPr>
              <w:t xml:space="preserve"> </w:t>
            </w:r>
            <w:r>
              <w:rPr>
                <w:rFonts w:hint="default" w:ascii="Times New Roman" w:hAnsi="Times New Roman" w:eastAsia="仿宋_GB2312" w:cs="Times New Roman"/>
                <w:color w:val="auto"/>
                <w:kern w:val="2"/>
                <w:sz w:val="24"/>
                <w:szCs w:val="24"/>
                <w:lang w:val="zh-TW"/>
              </w:rPr>
              <w:t>月   日</w:t>
            </w:r>
          </w:p>
        </w:tc>
      </w:tr>
    </w:tbl>
    <w:p>
      <w:pPr>
        <w:adjustRightInd/>
        <w:rPr>
          <w:rFonts w:hint="default" w:ascii="Times New Roman" w:hAnsi="Times New Roman" w:eastAsia="仿宋_GB2312" w:cs="Times New Roman"/>
        </w:rPr>
        <w:sectPr>
          <w:footerReference r:id="rId3" w:type="default"/>
          <w:pgSz w:w="11906" w:h="16838"/>
          <w:pgMar w:top="2098" w:right="1531" w:bottom="1984" w:left="1531" w:header="851" w:footer="992" w:gutter="0"/>
          <w:pgNumType w:start="1"/>
          <w:cols w:space="720" w:num="1"/>
          <w:docGrid w:type="linesAndChars" w:linePitch="304" w:charSpace="0"/>
        </w:sectPr>
      </w:pPr>
    </w:p>
    <w:p>
      <w:pPr>
        <w:widowControl w:val="0"/>
        <w:overflowPunct/>
        <w:jc w:val="center"/>
        <w:outlineLvl w:val="0"/>
        <w:rPr>
          <w:rFonts w:hint="default" w:ascii="Times New Roman" w:hAnsi="Times New Roman" w:eastAsia="黑体" w:cs="Times New Roman"/>
          <w:kern w:val="44"/>
          <w:sz w:val="32"/>
          <w:szCs w:val="32"/>
          <w:lang w:val="zh-CN"/>
        </w:rPr>
      </w:pPr>
      <w:bookmarkStart w:id="0" w:name="_Toc40531970"/>
      <w:bookmarkStart w:id="1" w:name="_Toc103173998"/>
      <w:bookmarkStart w:id="2" w:name="_Toc1229540318"/>
      <w:r>
        <w:rPr>
          <w:rFonts w:hint="default" w:ascii="Times New Roman" w:hAnsi="Times New Roman" w:eastAsia="黑体" w:cs="Times New Roman"/>
          <w:kern w:val="44"/>
          <w:sz w:val="32"/>
          <w:szCs w:val="32"/>
          <w:lang w:val="zh-CN"/>
        </w:rPr>
        <w:t>目   录</w:t>
      </w:r>
      <w:bookmarkEnd w:id="0"/>
      <w:bookmarkEnd w:id="1"/>
      <w:bookmarkEnd w:id="2"/>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TOC \o "1-3" \h \z \u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_Toc1229540318 </w:instrText>
      </w:r>
      <w:r>
        <w:rPr>
          <w:rFonts w:hint="default" w:ascii="Times New Roman" w:hAnsi="Times New Roman" w:eastAsia="仿宋_GB2312" w:cs="Times New Roman"/>
          <w:szCs w:val="30"/>
        </w:rPr>
        <w:fldChar w:fldCharType="separate"/>
      </w:r>
      <w:r>
        <w:rPr>
          <w:rFonts w:hint="default" w:ascii="Times New Roman" w:hAnsi="Times New Roman" w:eastAsia="黑体" w:cs="Times New Roman"/>
          <w:kern w:val="44"/>
          <w:szCs w:val="32"/>
          <w:lang w:val="zh-CN"/>
        </w:rPr>
        <w:t>目   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_Toc1229540318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_Toc418821835 </w:instrText>
      </w:r>
      <w:r>
        <w:rPr>
          <w:rFonts w:hint="default" w:ascii="Times New Roman" w:hAnsi="Times New Roman" w:eastAsia="仿宋_GB2312" w:cs="Times New Roman"/>
          <w:szCs w:val="30"/>
        </w:rPr>
        <w:fldChar w:fldCharType="separate"/>
      </w:r>
      <w:r>
        <w:rPr>
          <w:rFonts w:hint="default" w:ascii="Times New Roman" w:hAnsi="Times New Roman" w:cs="Times New Roman"/>
          <w:kern w:val="44"/>
          <w:szCs w:val="24"/>
          <w:lang w:val="zh-CN"/>
        </w:rPr>
        <w:t>正文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_Toc418821835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_Toc1714078246 </w:instrText>
      </w:r>
      <w:r>
        <w:rPr>
          <w:rFonts w:hint="default" w:ascii="Times New Roman" w:hAnsi="Times New Roman" w:eastAsia="仿宋_GB2312" w:cs="Times New Roman"/>
          <w:szCs w:val="30"/>
        </w:rPr>
        <w:fldChar w:fldCharType="separate"/>
      </w:r>
      <w:r>
        <w:rPr>
          <w:rFonts w:hint="default" w:ascii="Times New Roman" w:hAnsi="Times New Roman" w:eastAsia="黑体" w:cs="Times New Roman"/>
          <w:kern w:val="44"/>
          <w:szCs w:val="28"/>
          <w:lang w:val="zh-CN"/>
        </w:rPr>
        <w:t>一、基本情况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_Toc1714078246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_Toc266634010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（一）部门机构设置、编制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_Toc266634010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_Toc697655606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（二）部门职能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_Toc697655606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_Toc305964545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（三）部门202</w:t>
      </w:r>
      <w:r>
        <w:rPr>
          <w:rFonts w:hint="default" w:ascii="Times New Roman" w:hAnsi="Times New Roman" w:eastAsia="楷体_GB2312" w:cs="Times New Roman"/>
          <w:szCs w:val="28"/>
          <w:lang w:val="en-US" w:eastAsia="zh-CN"/>
        </w:rPr>
        <w:t>4</w:t>
      </w:r>
      <w:r>
        <w:rPr>
          <w:rFonts w:hint="default" w:ascii="Times New Roman" w:hAnsi="Times New Roman" w:eastAsia="楷体_GB2312" w:cs="Times New Roman"/>
          <w:szCs w:val="28"/>
        </w:rPr>
        <w:t>年工作完成情况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_Toc305964545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_Toc1201712532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（四）部门管理制度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_Toc1201712532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_Toc1863915367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（五）部门资金来源及使用情况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_Toc1863915367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_Toc1703950465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（六）政府采购情况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_Toc1703950465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_Toc931898239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（七）固定资产情况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_Toc931898239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_Toc1689054140 </w:instrText>
      </w:r>
      <w:r>
        <w:rPr>
          <w:rFonts w:hint="default" w:ascii="Times New Roman" w:hAnsi="Times New Roman" w:eastAsia="仿宋_GB2312" w:cs="Times New Roman"/>
          <w:szCs w:val="30"/>
        </w:rPr>
        <w:fldChar w:fldCharType="separate"/>
      </w:r>
      <w:r>
        <w:rPr>
          <w:rFonts w:hint="default" w:ascii="Times New Roman" w:hAnsi="Times New Roman" w:eastAsia="黑体" w:cs="Times New Roman"/>
          <w:kern w:val="44"/>
          <w:szCs w:val="32"/>
          <w:lang w:val="zh-CN"/>
        </w:rPr>
        <w:t>二、绩效目标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_Toc1689054140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_Toc1911752274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（一）部门总目标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_Toc1911752274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_Toc348990162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（二）部门项目具体计划目标</w:t>
      </w:r>
      <w:r>
        <w:rPr>
          <w:rFonts w:hint="default" w:ascii="Times New Roman" w:hAnsi="Times New Roman" w:eastAsia="楷体_GB2312" w:cs="Times New Roman"/>
          <w:szCs w:val="28"/>
          <w:lang w:eastAsia="zh-CN"/>
        </w:rPr>
        <w:t>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_Toc348990162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_Toc633642516 </w:instrText>
      </w:r>
      <w:r>
        <w:rPr>
          <w:rFonts w:hint="default" w:ascii="Times New Roman" w:hAnsi="Times New Roman" w:eastAsia="仿宋_GB2312" w:cs="Times New Roman"/>
          <w:szCs w:val="30"/>
        </w:rPr>
        <w:fldChar w:fldCharType="separate"/>
      </w:r>
      <w:r>
        <w:rPr>
          <w:rFonts w:hint="default" w:ascii="Times New Roman" w:hAnsi="Times New Roman" w:eastAsia="仿宋_GB2312" w:cs="Times New Roman"/>
          <w:szCs w:val="28"/>
          <w:lang w:val="en-US" w:eastAsia="zh-CN"/>
        </w:rPr>
        <w:t>1.</w:t>
      </w:r>
      <w:r>
        <w:rPr>
          <w:rFonts w:hint="default" w:ascii="Times New Roman" w:hAnsi="Times New Roman" w:eastAsia="楷体_GB2312" w:cs="Times New Roman"/>
          <w:szCs w:val="28"/>
        </w:rPr>
        <w:t>目标明确性分析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_Toc633642516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_Toc1835996896 </w:instrText>
      </w:r>
      <w:r>
        <w:rPr>
          <w:rFonts w:hint="default" w:ascii="Times New Roman" w:hAnsi="Times New Roman" w:eastAsia="仿宋_GB2312" w:cs="Times New Roman"/>
          <w:szCs w:val="30"/>
        </w:rPr>
        <w:fldChar w:fldCharType="separate"/>
      </w:r>
      <w:r>
        <w:rPr>
          <w:rFonts w:hint="default" w:ascii="Times New Roman" w:hAnsi="Times New Roman" w:eastAsia="仿宋_GB2312" w:cs="Times New Roman"/>
          <w:szCs w:val="28"/>
          <w:lang w:val="en-US" w:eastAsia="zh-CN"/>
        </w:rPr>
        <w:t>2.</w:t>
      </w:r>
      <w:r>
        <w:rPr>
          <w:rFonts w:hint="default" w:ascii="Times New Roman" w:hAnsi="Times New Roman" w:eastAsia="楷体_GB2312" w:cs="Times New Roman"/>
          <w:szCs w:val="28"/>
        </w:rPr>
        <w:t>目标合理性分析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_Toc1835996896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_Toc91841855 </w:instrText>
      </w:r>
      <w:r>
        <w:rPr>
          <w:rFonts w:hint="default" w:ascii="Times New Roman" w:hAnsi="Times New Roman" w:eastAsia="仿宋_GB2312" w:cs="Times New Roman"/>
          <w:szCs w:val="30"/>
        </w:rPr>
        <w:fldChar w:fldCharType="separate"/>
      </w:r>
      <w:r>
        <w:rPr>
          <w:rFonts w:hint="default" w:ascii="Times New Roman" w:hAnsi="Times New Roman" w:eastAsia="仿宋_GB2312" w:cs="Times New Roman"/>
          <w:szCs w:val="28"/>
          <w:lang w:val="en-US" w:eastAsia="zh-CN"/>
        </w:rPr>
        <w:t>3.</w:t>
      </w:r>
      <w:r>
        <w:rPr>
          <w:rFonts w:hint="default" w:ascii="Times New Roman" w:hAnsi="Times New Roman" w:eastAsia="楷体_GB2312" w:cs="Times New Roman"/>
          <w:szCs w:val="28"/>
        </w:rPr>
        <w:t>目标细化、量化程度分析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_Toc91841855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_Toc1887906317 </w:instrText>
      </w:r>
      <w:r>
        <w:rPr>
          <w:rFonts w:hint="default" w:ascii="Times New Roman" w:hAnsi="Times New Roman" w:eastAsia="仿宋_GB2312" w:cs="Times New Roman"/>
          <w:szCs w:val="30"/>
        </w:rPr>
        <w:fldChar w:fldCharType="separate"/>
      </w:r>
      <w:r>
        <w:rPr>
          <w:rFonts w:hint="default" w:ascii="Times New Roman" w:hAnsi="Times New Roman" w:eastAsia="黑体" w:cs="Times New Roman"/>
          <w:kern w:val="44"/>
          <w:szCs w:val="28"/>
          <w:lang w:val="zh-CN"/>
        </w:rPr>
        <w:t>三、评价思路和过程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_Toc1887906317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_Toc1589024041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（一）评价思路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_Toc1589024041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_Toc1517089720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（二）评价目的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_Toc1517089720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_Toc84833570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（三）评价依据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_Toc84833570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_Toc151972303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（四）评价对象及评价时段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_Toc151972303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_Toc1534444231 </w:instrText>
      </w:r>
      <w:r>
        <w:rPr>
          <w:rFonts w:hint="default" w:ascii="Times New Roman" w:hAnsi="Times New Roman" w:eastAsia="仿宋_GB2312" w:cs="Times New Roman"/>
          <w:szCs w:val="30"/>
        </w:rPr>
        <w:fldChar w:fldCharType="separate"/>
      </w:r>
      <w:r>
        <w:rPr>
          <w:rFonts w:hint="default" w:ascii="Times New Roman" w:hAnsi="Times New Roman" w:eastAsia="黑体" w:cs="Times New Roman"/>
          <w:kern w:val="44"/>
          <w:szCs w:val="28"/>
          <w:lang w:val="zh-CN"/>
        </w:rPr>
        <w:t>四、评价结论和主要绩效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_Toc1534444231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_Toc467481762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（一）评价结果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_Toc467481762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_Toc1761784979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lang w:eastAsia="zh-CN"/>
        </w:rPr>
        <w:t>（二）</w:t>
      </w:r>
      <w:r>
        <w:rPr>
          <w:rFonts w:hint="default" w:ascii="Times New Roman" w:hAnsi="Times New Roman" w:eastAsia="楷体_GB2312" w:cs="Times New Roman"/>
          <w:szCs w:val="28"/>
        </w:rPr>
        <w:t>主要绩效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_Toc1761784979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_Toc1053649099 </w:instrText>
      </w:r>
      <w:r>
        <w:rPr>
          <w:rFonts w:hint="default" w:ascii="Times New Roman" w:hAnsi="Times New Roman" w:eastAsia="仿宋_GB2312" w:cs="Times New Roman"/>
          <w:szCs w:val="30"/>
        </w:rPr>
        <w:fldChar w:fldCharType="separate"/>
      </w:r>
      <w:r>
        <w:rPr>
          <w:rFonts w:hint="default" w:ascii="Times New Roman" w:hAnsi="Times New Roman" w:eastAsia="黑体" w:cs="Times New Roman"/>
          <w:kern w:val="44"/>
          <w:szCs w:val="28"/>
          <w:lang w:val="zh-CN"/>
        </w:rPr>
        <w:t>五、主要经验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_Toc1053649099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_Toc1998736347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（一）成立专门的预算绩效评价小组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_Toc1998736347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_Toc2024300143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（二）做好预算绩效管理的事中控制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_Toc2024300143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_Toc1459879922 </w:instrText>
      </w:r>
      <w:r>
        <w:rPr>
          <w:rFonts w:hint="default" w:ascii="Times New Roman" w:hAnsi="Times New Roman" w:eastAsia="仿宋_GB2312" w:cs="Times New Roman"/>
          <w:szCs w:val="30"/>
        </w:rPr>
        <w:fldChar w:fldCharType="separate"/>
      </w:r>
      <w:r>
        <w:rPr>
          <w:rFonts w:hint="default" w:ascii="Times New Roman" w:hAnsi="Times New Roman" w:eastAsia="黑体" w:cs="Times New Roman"/>
          <w:kern w:val="44"/>
          <w:szCs w:val="28"/>
          <w:lang w:val="zh-CN"/>
        </w:rPr>
        <w:t>六、存在的问题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_Toc1459879922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_Toc649229359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（一）绩效目标设定方面应加强事前论证</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_Toc649229359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_Toc890711398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（二）业务管理方面存在的不足</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_Toc890711398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_Toc397413605 </w:instrText>
      </w:r>
      <w:r>
        <w:rPr>
          <w:rFonts w:hint="default" w:ascii="Times New Roman" w:hAnsi="Times New Roman" w:eastAsia="仿宋_GB2312" w:cs="Times New Roman"/>
          <w:szCs w:val="30"/>
        </w:rPr>
        <w:fldChar w:fldCharType="separate"/>
      </w:r>
      <w:r>
        <w:rPr>
          <w:rFonts w:hint="default" w:ascii="Times New Roman" w:hAnsi="Times New Roman" w:eastAsia="黑体" w:cs="Times New Roman"/>
          <w:kern w:val="44"/>
          <w:szCs w:val="28"/>
          <w:lang w:val="zh-CN"/>
        </w:rPr>
        <w:t>七、改进措施和建议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_Toc397413605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_Toc1878769677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（一）培养预算绩效管理人才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_Toc1878769677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_Toc1309533233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（二）强化项目执行过程的跟踪监控、监督与整改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_Toc1309533233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_Toc2111491852 </w:instrText>
      </w:r>
      <w:r>
        <w:rPr>
          <w:rFonts w:hint="default" w:ascii="Times New Roman" w:hAnsi="Times New Roman" w:eastAsia="仿宋_GB2312" w:cs="Times New Roman"/>
          <w:szCs w:val="30"/>
        </w:rPr>
        <w:fldChar w:fldCharType="separate"/>
      </w:r>
      <w:r>
        <w:rPr>
          <w:rFonts w:hint="default" w:ascii="Times New Roman" w:hAnsi="Times New Roman" w:eastAsia="楷体_GB2312" w:cs="Times New Roman"/>
          <w:szCs w:val="28"/>
        </w:rPr>
        <w:t>（三）重视预算绩效评价及结果应用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_Toc2111491852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pStyle w:val="60"/>
        <w:tabs>
          <w:tab w:val="right" w:leader="dot" w:pos="8844"/>
        </w:tabs>
        <w:rPr>
          <w:rFonts w:hint="default" w:ascii="Times New Roman" w:hAnsi="Times New Roman" w:cs="Times New Roman"/>
        </w:rPr>
      </w:pPr>
      <w:r>
        <w:rPr>
          <w:rFonts w:hint="default" w:ascii="Times New Roman" w:hAnsi="Times New Roman" w:eastAsia="仿宋_GB2312" w:cs="Times New Roman"/>
          <w:szCs w:val="30"/>
        </w:rPr>
        <w:fldChar w:fldCharType="begin"/>
      </w:r>
      <w:r>
        <w:rPr>
          <w:rFonts w:hint="default" w:ascii="Times New Roman" w:hAnsi="Times New Roman" w:eastAsia="仿宋_GB2312" w:cs="Times New Roman"/>
          <w:szCs w:val="30"/>
        </w:rPr>
        <w:instrText xml:space="preserve"> HYPERLINK \l _Toc2145403688 </w:instrText>
      </w:r>
      <w:r>
        <w:rPr>
          <w:rFonts w:hint="default" w:ascii="Times New Roman" w:hAnsi="Times New Roman" w:eastAsia="仿宋_GB2312" w:cs="Times New Roman"/>
          <w:szCs w:val="30"/>
        </w:rPr>
        <w:fldChar w:fldCharType="separate"/>
      </w:r>
      <w:r>
        <w:rPr>
          <w:rFonts w:hint="default" w:ascii="Times New Roman" w:hAnsi="Times New Roman" w:eastAsia="黑体" w:cs="Times New Roman"/>
          <w:szCs w:val="28"/>
          <w:lang w:val="zh-CN"/>
        </w:rPr>
        <w:t>相关附件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_Toc2145403688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eastAsia="仿宋_GB2312" w:cs="Times New Roman"/>
          <w:szCs w:val="30"/>
        </w:rPr>
        <w:fldChar w:fldCharType="end"/>
      </w:r>
    </w:p>
    <w:p>
      <w:pPr>
        <w:adjustRightInd/>
        <w:rPr>
          <w:rFonts w:hint="default" w:ascii="Times New Roman" w:hAnsi="Times New Roman" w:eastAsia="仿宋_GB2312" w:cs="Times New Roman"/>
          <w:sz w:val="30"/>
          <w:szCs w:val="30"/>
        </w:rPr>
      </w:pPr>
      <w:r>
        <w:rPr>
          <w:rFonts w:hint="default" w:ascii="Times New Roman" w:hAnsi="Times New Roman" w:eastAsia="仿宋_GB2312" w:cs="Times New Roman"/>
          <w:szCs w:val="30"/>
        </w:rPr>
        <w:fldChar w:fldCharType="end"/>
      </w:r>
    </w:p>
    <w:p>
      <w:pPr>
        <w:adjustRightInd/>
        <w:rPr>
          <w:rFonts w:hint="default" w:ascii="Times New Roman" w:hAnsi="Times New Roman" w:eastAsia="方正小标宋_GBK" w:cs="Times New Roman"/>
          <w:sz w:val="30"/>
          <w:szCs w:val="30"/>
        </w:rPr>
        <w:sectPr>
          <w:pgSz w:w="11906" w:h="16838"/>
          <w:pgMar w:top="2098" w:right="1531" w:bottom="1361" w:left="1531" w:header="851" w:footer="992" w:gutter="0"/>
          <w:pgNumType w:start="1"/>
          <w:cols w:space="720" w:num="1"/>
          <w:docGrid w:type="linesAndChars" w:linePitch="304" w:charSpace="0"/>
        </w:sectPr>
      </w:pPr>
    </w:p>
    <w:p>
      <w:pPr>
        <w:widowControl w:val="0"/>
        <w:overflowPunct/>
        <w:jc w:val="left"/>
        <w:outlineLvl w:val="0"/>
        <w:rPr>
          <w:rFonts w:hint="default" w:ascii="Times New Roman" w:hAnsi="Times New Roman" w:cs="Times New Roman"/>
          <w:kern w:val="44"/>
          <w:sz w:val="24"/>
          <w:szCs w:val="24"/>
          <w:lang w:val="zh-CN"/>
        </w:rPr>
      </w:pPr>
      <w:bookmarkStart w:id="3" w:name="_Toc418821835"/>
      <w:r>
        <w:rPr>
          <w:rFonts w:hint="default" w:ascii="Times New Roman" w:hAnsi="Times New Roman" w:cs="Times New Roman"/>
          <w:kern w:val="44"/>
          <w:sz w:val="24"/>
          <w:szCs w:val="24"/>
          <w:lang w:val="zh-CN"/>
        </w:rPr>
        <w:t>正文</w:t>
      </w:r>
      <w:bookmarkEnd w:id="3"/>
    </w:p>
    <w:p>
      <w:pPr>
        <w:adjustRightInd/>
        <w:jc w:val="center"/>
        <w:rPr>
          <w:rFonts w:hint="default" w:ascii="Times New Roman" w:hAnsi="Times New Roman" w:eastAsia="方正小标宋简体" w:cs="Times New Roman"/>
          <w:sz w:val="36"/>
          <w:szCs w:val="36"/>
          <w:lang w:eastAsia="zh-CN"/>
        </w:rPr>
      </w:pPr>
    </w:p>
    <w:p>
      <w:pPr>
        <w:adjustRightInd/>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eastAsia="zh-CN"/>
        </w:rPr>
        <w:t>昆明市社科联</w:t>
      </w:r>
      <w:r>
        <w:rPr>
          <w:rFonts w:hint="default" w:ascii="Times New Roman" w:hAnsi="Times New Roman" w:eastAsia="方正小标宋简体" w:cs="Times New Roman"/>
          <w:sz w:val="36"/>
          <w:szCs w:val="36"/>
        </w:rPr>
        <w:t>202</w:t>
      </w:r>
      <w:r>
        <w:rPr>
          <w:rFonts w:hint="default" w:ascii="Times New Roman" w:hAnsi="Times New Roman" w:eastAsia="方正小标宋简体" w:cs="Times New Roman"/>
          <w:sz w:val="36"/>
          <w:szCs w:val="36"/>
          <w:lang w:val="en-US" w:eastAsia="zh-CN"/>
        </w:rPr>
        <w:t>4</w:t>
      </w:r>
      <w:r>
        <w:rPr>
          <w:rFonts w:hint="default" w:ascii="Times New Roman" w:hAnsi="Times New Roman" w:eastAsia="方正小标宋简体" w:cs="Times New Roman"/>
          <w:sz w:val="36"/>
          <w:szCs w:val="36"/>
        </w:rPr>
        <w:t>年度部门整体支出绩效自评报告</w:t>
      </w:r>
    </w:p>
    <w:p>
      <w:pPr>
        <w:adjustRightInd/>
        <w:rPr>
          <w:rFonts w:hint="default" w:ascii="Times New Roman" w:hAnsi="Times New Roman" w:eastAsia="方正小标宋_GBK" w:cs="Times New Roman"/>
          <w:spacing w:val="40"/>
          <w:sz w:val="28"/>
          <w:szCs w:val="28"/>
        </w:rPr>
      </w:pPr>
    </w:p>
    <w:p>
      <w:pPr>
        <w:adjustRightInd/>
        <w:ind w:firstLine="560" w:firstLineChars="200"/>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根据《中华人民共和国预算法》规定，按照中共昆明市委 昆明市人民政府《关于全面实施预算绩效管理的实施意见》（昆发〔2019〕12号）、《昆明市本级部门预算绩效自评管理暂行办法》（昆财绩〔2018〕60号）、《昆明市财政局关于开展202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年度市本级部门预算支出绩效</w:t>
      </w:r>
      <w:r>
        <w:rPr>
          <w:rFonts w:hint="default" w:ascii="Times New Roman" w:hAnsi="Times New Roman" w:eastAsia="仿宋_GB2312" w:cs="Times New Roman"/>
          <w:sz w:val="28"/>
          <w:szCs w:val="28"/>
          <w:lang w:eastAsia="zh-CN"/>
        </w:rPr>
        <w:t>评价</w:t>
      </w:r>
      <w:r>
        <w:rPr>
          <w:rFonts w:hint="default" w:ascii="Times New Roman" w:hAnsi="Times New Roman" w:eastAsia="仿宋_GB2312" w:cs="Times New Roman"/>
          <w:sz w:val="28"/>
          <w:szCs w:val="28"/>
        </w:rPr>
        <w:t>工作的通知》（昆财绩〔202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号）等文件要求，202</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日至</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日，</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组成绩效评价工作领导小组，由</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办公室主任任组长，相关处室负责人为组员，对20</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年度</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部门整体支出绩效进行了自评，现将评价情况报告如下。</w:t>
      </w:r>
    </w:p>
    <w:p>
      <w:pPr>
        <w:widowControl w:val="0"/>
        <w:overflowPunct/>
        <w:ind w:firstLine="560" w:firstLineChars="200"/>
        <w:outlineLvl w:val="0"/>
        <w:rPr>
          <w:rFonts w:hint="default" w:ascii="Times New Roman" w:hAnsi="Times New Roman" w:eastAsia="黑体" w:cs="Times New Roman"/>
          <w:kern w:val="44"/>
          <w:sz w:val="28"/>
          <w:szCs w:val="28"/>
          <w:lang w:val="zh-CN"/>
        </w:rPr>
      </w:pPr>
      <w:bookmarkStart w:id="4" w:name="_Toc1714078246"/>
      <w:r>
        <w:rPr>
          <w:rFonts w:hint="default" w:ascii="Times New Roman" w:hAnsi="Times New Roman" w:eastAsia="黑体" w:cs="Times New Roman"/>
          <w:kern w:val="44"/>
          <w:sz w:val="28"/>
          <w:szCs w:val="28"/>
          <w:lang w:val="zh-CN"/>
        </w:rPr>
        <w:t>一、基本情况</w:t>
      </w:r>
      <w:bookmarkEnd w:id="4"/>
    </w:p>
    <w:p>
      <w:pPr>
        <w:ind w:firstLine="560" w:firstLineChars="200"/>
        <w:outlineLvl w:val="0"/>
        <w:rPr>
          <w:rFonts w:hint="default" w:ascii="Times New Roman" w:hAnsi="Times New Roman" w:eastAsia="楷体_GB2312" w:cs="Times New Roman"/>
          <w:sz w:val="28"/>
          <w:szCs w:val="28"/>
        </w:rPr>
      </w:pPr>
      <w:bookmarkStart w:id="5" w:name="_Toc266634010"/>
      <w:r>
        <w:rPr>
          <w:rFonts w:hint="default" w:ascii="Times New Roman" w:hAnsi="Times New Roman" w:eastAsia="楷体_GB2312" w:cs="Times New Roman"/>
          <w:sz w:val="28"/>
          <w:szCs w:val="28"/>
        </w:rPr>
        <w:t>（一）部门机构设置、编制</w:t>
      </w:r>
      <w:bookmarkEnd w:id="5"/>
    </w:p>
    <w:p>
      <w:pPr>
        <w:pStyle w:val="8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default" w:ascii="Times New Roman" w:hAnsi="Times New Roman" w:eastAsia="仿宋_GB2312" w:cs="Times New Roman"/>
          <w:color w:val="auto"/>
          <w:kern w:val="0"/>
          <w:sz w:val="30"/>
          <w:szCs w:val="30"/>
          <w:lang w:val="en-US" w:eastAsia="zh-CN" w:bidi="ar-SA"/>
        </w:rPr>
      </w:pPr>
      <w:r>
        <w:rPr>
          <w:rFonts w:hint="default" w:ascii="Times New Roman" w:hAnsi="Times New Roman" w:eastAsia="仿宋_GB2312" w:cs="Times New Roman"/>
          <w:color w:val="auto"/>
          <w:kern w:val="0"/>
          <w:sz w:val="30"/>
          <w:szCs w:val="30"/>
          <w:lang w:val="en-US" w:eastAsia="zh-CN" w:bidi="ar-SA"/>
        </w:rPr>
        <w:t>昆明市社会科学界联合会共设置5个内设机构，包括：办公室、学会部、科研部（昆明市社会科学规划办公室）、社科普及咨询部（昆明市社会科学优秀成果评奖办公室）和编辑调研室。人员编制18人。所属单位0个。</w:t>
      </w:r>
    </w:p>
    <w:p>
      <w:pPr>
        <w:numPr>
          <w:ilvl w:val="0"/>
          <w:numId w:val="0"/>
        </w:numPr>
        <w:adjustRightInd/>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zh-CN"/>
        </w:rPr>
        <w:t>市社科联</w:t>
      </w:r>
      <w:r>
        <w:rPr>
          <w:rFonts w:hint="default" w:ascii="Times New Roman" w:hAnsi="Times New Roman" w:eastAsia="仿宋_GB2312" w:cs="Times New Roman"/>
          <w:color w:val="000000"/>
          <w:sz w:val="28"/>
          <w:szCs w:val="28"/>
        </w:rPr>
        <w:t>人员编制</w:t>
      </w:r>
      <w:r>
        <w:rPr>
          <w:rFonts w:hint="default" w:ascii="Times New Roman" w:hAnsi="Times New Roman" w:eastAsia="仿宋_GB2312" w:cs="Times New Roman"/>
          <w:color w:val="000000"/>
          <w:sz w:val="28"/>
          <w:szCs w:val="28"/>
          <w:lang w:val="en-US" w:eastAsia="zh-CN"/>
        </w:rPr>
        <w:t>18</w:t>
      </w:r>
      <w:r>
        <w:rPr>
          <w:rFonts w:hint="default" w:ascii="Times New Roman" w:hAnsi="Times New Roman" w:eastAsia="仿宋_GB2312" w:cs="Times New Roman"/>
          <w:color w:val="000000"/>
          <w:sz w:val="28"/>
          <w:szCs w:val="28"/>
        </w:rPr>
        <w:t>人，其中：行政编制</w:t>
      </w:r>
      <w:r>
        <w:rPr>
          <w:rFonts w:hint="default" w:ascii="Times New Roman" w:hAnsi="Times New Roman" w:eastAsia="仿宋_GB2312" w:cs="Times New Roman"/>
          <w:color w:val="000000"/>
          <w:sz w:val="28"/>
          <w:szCs w:val="28"/>
          <w:lang w:val="en-US" w:eastAsia="zh-CN"/>
        </w:rPr>
        <w:t>0</w:t>
      </w:r>
      <w:r>
        <w:rPr>
          <w:rFonts w:hint="default" w:ascii="Times New Roman" w:hAnsi="Times New Roman" w:eastAsia="仿宋_GB2312" w:cs="Times New Roman"/>
          <w:color w:val="000000"/>
          <w:sz w:val="28"/>
          <w:szCs w:val="28"/>
        </w:rPr>
        <w:t>人，参照公务员法管理事业编制</w:t>
      </w:r>
      <w:r>
        <w:rPr>
          <w:rFonts w:hint="default" w:ascii="Times New Roman" w:hAnsi="Times New Roman" w:eastAsia="仿宋_GB2312" w:cs="Times New Roman"/>
          <w:color w:val="000000"/>
          <w:sz w:val="28"/>
          <w:szCs w:val="28"/>
          <w:lang w:val="en-US" w:eastAsia="zh-CN"/>
        </w:rPr>
        <w:t>17</w:t>
      </w:r>
      <w:r>
        <w:rPr>
          <w:rFonts w:hint="default" w:ascii="Times New Roman" w:hAnsi="Times New Roman" w:eastAsia="仿宋_GB2312" w:cs="Times New Roman"/>
          <w:color w:val="000000"/>
          <w:sz w:val="28"/>
          <w:szCs w:val="28"/>
        </w:rPr>
        <w:t>人，全额补助事业编制</w:t>
      </w:r>
      <w:r>
        <w:rPr>
          <w:rFonts w:hint="default" w:ascii="Times New Roman" w:hAnsi="Times New Roman" w:eastAsia="仿宋_GB2312" w:cs="Times New Roman"/>
          <w:color w:val="000000"/>
          <w:sz w:val="28"/>
          <w:szCs w:val="28"/>
          <w:lang w:val="en-US" w:eastAsia="zh-CN"/>
        </w:rPr>
        <w:t>0</w:t>
      </w:r>
      <w:r>
        <w:rPr>
          <w:rFonts w:hint="default" w:ascii="Times New Roman" w:hAnsi="Times New Roman" w:eastAsia="仿宋_GB2312" w:cs="Times New Roman"/>
          <w:color w:val="000000"/>
          <w:sz w:val="28"/>
          <w:szCs w:val="28"/>
        </w:rPr>
        <w:t>人。截至202</w:t>
      </w:r>
      <w:r>
        <w:rPr>
          <w:rFonts w:hint="default" w:ascii="Times New Roman" w:hAnsi="Times New Roman"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rPr>
        <w:t>年底，在职实有17人，其中：行政编制</w:t>
      </w:r>
      <w:r>
        <w:rPr>
          <w:rFonts w:hint="default" w:ascii="Times New Roman" w:hAnsi="Times New Roman" w:eastAsia="仿宋_GB2312" w:cs="Times New Roman"/>
          <w:color w:val="000000"/>
          <w:sz w:val="28"/>
          <w:szCs w:val="28"/>
          <w:lang w:val="en-US" w:eastAsia="zh-CN"/>
        </w:rPr>
        <w:t>0</w:t>
      </w:r>
      <w:r>
        <w:rPr>
          <w:rFonts w:hint="default" w:ascii="Times New Roman" w:hAnsi="Times New Roman" w:eastAsia="仿宋_GB2312" w:cs="Times New Roman"/>
          <w:color w:val="000000"/>
          <w:sz w:val="28"/>
          <w:szCs w:val="28"/>
        </w:rPr>
        <w:t>人，参照公务员法管理事业编制人员</w:t>
      </w:r>
      <w:r>
        <w:rPr>
          <w:rFonts w:hint="default" w:ascii="Times New Roman" w:hAnsi="Times New Roman" w:eastAsia="仿宋_GB2312" w:cs="Times New Roman"/>
          <w:color w:val="000000"/>
          <w:sz w:val="28"/>
          <w:szCs w:val="28"/>
          <w:lang w:val="en-US" w:eastAsia="zh-CN"/>
        </w:rPr>
        <w:t>17</w:t>
      </w:r>
      <w:r>
        <w:rPr>
          <w:rFonts w:hint="default" w:ascii="Times New Roman" w:hAnsi="Times New Roman" w:eastAsia="仿宋_GB2312" w:cs="Times New Roman"/>
          <w:color w:val="000000"/>
          <w:sz w:val="28"/>
          <w:szCs w:val="28"/>
        </w:rPr>
        <w:t>人、全额补助事业编制人员</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人。在职人员总控制率</w:t>
      </w:r>
      <w:r>
        <w:rPr>
          <w:rFonts w:hint="default" w:ascii="Times New Roman" w:hAnsi="Times New Roman" w:eastAsia="仿宋_GB2312" w:cs="Times New Roman"/>
          <w:color w:val="000000"/>
          <w:sz w:val="28"/>
          <w:szCs w:val="28"/>
          <w:lang w:val="en-US" w:eastAsia="zh-CN"/>
        </w:rPr>
        <w:t>94.44</w:t>
      </w:r>
      <w:r>
        <w:rPr>
          <w:rFonts w:hint="default" w:ascii="Times New Roman" w:hAnsi="Times New Roman" w:eastAsia="仿宋_GB2312" w:cs="Times New Roman"/>
          <w:color w:val="000000"/>
          <w:sz w:val="28"/>
          <w:szCs w:val="28"/>
        </w:rPr>
        <w:t>%。</w:t>
      </w:r>
    </w:p>
    <w:p>
      <w:pPr>
        <w:pStyle w:val="5"/>
        <w:rPr>
          <w:rFonts w:hint="default" w:ascii="Times New Roman" w:hAnsi="Times New Roman" w:cs="Times New Roman"/>
        </w:rPr>
      </w:pPr>
    </w:p>
    <w:p>
      <w:pPr>
        <w:adjustRightInd/>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zh-CN"/>
        </w:rPr>
        <w:t>市社科联</w:t>
      </w:r>
      <w:r>
        <w:rPr>
          <w:rFonts w:hint="default" w:ascii="Times New Roman" w:hAnsi="Times New Roman" w:eastAsia="仿宋_GB2312" w:cs="Times New Roman"/>
          <w:color w:val="000000"/>
          <w:sz w:val="28"/>
          <w:szCs w:val="28"/>
        </w:rPr>
        <w:t>编制及实有在编人数统计表</w:t>
      </w:r>
    </w:p>
    <w:tbl>
      <w:tblPr>
        <w:tblStyle w:val="89"/>
        <w:tblW w:w="8704" w:type="dxa"/>
        <w:jc w:val="center"/>
        <w:tblLayout w:type="autofit"/>
        <w:tblCellMar>
          <w:top w:w="0" w:type="dxa"/>
          <w:left w:w="108" w:type="dxa"/>
          <w:bottom w:w="0" w:type="dxa"/>
          <w:right w:w="108" w:type="dxa"/>
        </w:tblCellMar>
      </w:tblPr>
      <w:tblGrid>
        <w:gridCol w:w="2765"/>
        <w:gridCol w:w="1985"/>
        <w:gridCol w:w="2049"/>
        <w:gridCol w:w="1905"/>
      </w:tblGrid>
      <w:tr>
        <w:tblPrEx>
          <w:tblCellMar>
            <w:top w:w="0" w:type="dxa"/>
            <w:left w:w="108" w:type="dxa"/>
            <w:bottom w:w="0" w:type="dxa"/>
            <w:right w:w="108" w:type="dxa"/>
          </w:tblCellMar>
        </w:tblPrEx>
        <w:trPr>
          <w:trHeight w:val="272" w:hRule="atLeast"/>
          <w:jc w:val="center"/>
        </w:trPr>
        <w:tc>
          <w:tcPr>
            <w:tcW w:w="2765"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jc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sz w:val="18"/>
                <w:szCs w:val="18"/>
              </w:rPr>
              <w:t>类型</w:t>
            </w:r>
          </w:p>
        </w:tc>
        <w:tc>
          <w:tcPr>
            <w:tcW w:w="1985" w:type="dxa"/>
            <w:tcBorders>
              <w:top w:val="single" w:color="auto" w:sz="4" w:space="0"/>
              <w:left w:val="nil"/>
              <w:bottom w:val="single" w:color="auto" w:sz="4" w:space="0"/>
              <w:right w:val="single" w:color="auto" w:sz="4" w:space="0"/>
            </w:tcBorders>
            <w:shd w:val="clear" w:color="auto" w:fill="auto"/>
            <w:vAlign w:val="center"/>
          </w:tcPr>
          <w:p>
            <w:pPr>
              <w:overflowPunct/>
              <w:autoSpaceDE/>
              <w:autoSpaceDN/>
              <w:adjustRightInd/>
              <w:jc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sz w:val="18"/>
                <w:szCs w:val="18"/>
              </w:rPr>
              <w:t>编制数</w:t>
            </w:r>
          </w:p>
        </w:tc>
        <w:tc>
          <w:tcPr>
            <w:tcW w:w="2049" w:type="dxa"/>
            <w:tcBorders>
              <w:top w:val="single" w:color="auto" w:sz="4" w:space="0"/>
              <w:left w:val="nil"/>
              <w:bottom w:val="single" w:color="auto" w:sz="4" w:space="0"/>
              <w:right w:val="single" w:color="auto" w:sz="4" w:space="0"/>
            </w:tcBorders>
            <w:shd w:val="clear" w:color="auto" w:fill="auto"/>
            <w:vAlign w:val="center"/>
          </w:tcPr>
          <w:p>
            <w:pPr>
              <w:overflowPunct/>
              <w:autoSpaceDE/>
              <w:autoSpaceDN/>
              <w:adjustRightInd/>
              <w:jc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sz w:val="18"/>
                <w:szCs w:val="18"/>
              </w:rPr>
              <w:t>202</w:t>
            </w:r>
            <w:r>
              <w:rPr>
                <w:rFonts w:hint="default" w:ascii="Times New Roman" w:hAnsi="Times New Roman" w:eastAsia="仿宋_GB2312" w:cs="Times New Roman"/>
                <w:b/>
                <w:bCs/>
                <w:color w:val="000000"/>
                <w:sz w:val="18"/>
                <w:szCs w:val="18"/>
                <w:lang w:val="en-US" w:eastAsia="zh-CN"/>
              </w:rPr>
              <w:t>4</w:t>
            </w:r>
            <w:r>
              <w:rPr>
                <w:rFonts w:hint="default" w:ascii="Times New Roman" w:hAnsi="Times New Roman" w:eastAsia="仿宋_GB2312" w:cs="Times New Roman"/>
                <w:b/>
                <w:bCs/>
                <w:color w:val="000000"/>
                <w:sz w:val="18"/>
                <w:szCs w:val="18"/>
              </w:rPr>
              <w:t>年末实有在编数</w:t>
            </w:r>
          </w:p>
        </w:tc>
        <w:tc>
          <w:tcPr>
            <w:tcW w:w="1905" w:type="dxa"/>
            <w:tcBorders>
              <w:top w:val="single" w:color="auto" w:sz="4" w:space="0"/>
              <w:left w:val="nil"/>
              <w:bottom w:val="single" w:color="auto" w:sz="4" w:space="0"/>
              <w:right w:val="single" w:color="auto" w:sz="4" w:space="0"/>
            </w:tcBorders>
            <w:shd w:val="clear" w:color="auto" w:fill="auto"/>
            <w:vAlign w:val="center"/>
          </w:tcPr>
          <w:p>
            <w:pPr>
              <w:overflowPunct/>
              <w:autoSpaceDE/>
              <w:autoSpaceDN/>
              <w:adjustRightInd/>
              <w:jc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sz w:val="18"/>
                <w:szCs w:val="18"/>
              </w:rPr>
              <w:t>在职人员控制率</w:t>
            </w:r>
          </w:p>
        </w:tc>
      </w:tr>
      <w:tr>
        <w:tblPrEx>
          <w:tblCellMar>
            <w:top w:w="0" w:type="dxa"/>
            <w:left w:w="108" w:type="dxa"/>
            <w:bottom w:w="0" w:type="dxa"/>
            <w:right w:w="108" w:type="dxa"/>
          </w:tblCellMar>
        </w:tblPrEx>
        <w:trPr>
          <w:trHeight w:val="189" w:hRule="atLeast"/>
          <w:jc w:val="center"/>
        </w:trPr>
        <w:tc>
          <w:tcPr>
            <w:tcW w:w="276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jc w:val="left"/>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行政编制</w:t>
            </w:r>
          </w:p>
        </w:tc>
        <w:tc>
          <w:tcPr>
            <w:tcW w:w="198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jc w:val="center"/>
              <w:rPr>
                <w:rFonts w:hint="default" w:ascii="Times New Roman" w:hAnsi="Times New Roman" w:eastAsia="等线" w:cs="Times New Roman"/>
                <w:color w:val="000000"/>
                <w:sz w:val="18"/>
                <w:szCs w:val="18"/>
                <w:lang w:eastAsia="zh-CN"/>
              </w:rPr>
            </w:pPr>
            <w:r>
              <w:rPr>
                <w:rFonts w:hint="default" w:ascii="Times New Roman" w:hAnsi="Times New Roman" w:eastAsia="等线" w:cs="Times New Roman"/>
                <w:color w:val="000000"/>
                <w:sz w:val="18"/>
                <w:szCs w:val="18"/>
                <w:lang w:val="en-US" w:eastAsia="zh-CN"/>
              </w:rPr>
              <w:t>0</w:t>
            </w:r>
          </w:p>
        </w:tc>
        <w:tc>
          <w:tcPr>
            <w:tcW w:w="20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jc w:val="center"/>
              <w:rPr>
                <w:rFonts w:hint="default" w:ascii="Times New Roman" w:hAnsi="Times New Roman" w:eastAsia="等线" w:cs="Times New Roman"/>
                <w:color w:val="000000"/>
                <w:sz w:val="18"/>
                <w:szCs w:val="18"/>
                <w:lang w:eastAsia="zh-CN"/>
              </w:rPr>
            </w:pPr>
            <w:r>
              <w:rPr>
                <w:rFonts w:hint="default" w:ascii="Times New Roman" w:hAnsi="Times New Roman" w:eastAsia="等线" w:cs="Times New Roman"/>
                <w:color w:val="000000"/>
                <w:sz w:val="18"/>
                <w:szCs w:val="18"/>
                <w:lang w:val="en-US" w:eastAsia="zh-CN"/>
              </w:rPr>
              <w:t>0</w:t>
            </w:r>
          </w:p>
        </w:tc>
        <w:tc>
          <w:tcPr>
            <w:tcW w:w="19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lang w:val="en-US" w:eastAsia="zh-CN"/>
              </w:rPr>
              <w:t>0.0</w:t>
            </w:r>
            <w:r>
              <w:rPr>
                <w:rFonts w:hint="default" w:ascii="Times New Roman" w:hAnsi="Times New Roman" w:eastAsia="等线" w:cs="Times New Roman"/>
                <w:color w:val="000000"/>
                <w:sz w:val="18"/>
                <w:szCs w:val="18"/>
              </w:rPr>
              <w:t>0%</w:t>
            </w:r>
          </w:p>
        </w:tc>
      </w:tr>
      <w:tr>
        <w:tblPrEx>
          <w:tblCellMar>
            <w:top w:w="0" w:type="dxa"/>
            <w:left w:w="108" w:type="dxa"/>
            <w:bottom w:w="0" w:type="dxa"/>
            <w:right w:w="108" w:type="dxa"/>
          </w:tblCellMar>
        </w:tblPrEx>
        <w:trPr>
          <w:trHeight w:val="189" w:hRule="atLeast"/>
          <w:jc w:val="center"/>
        </w:trPr>
        <w:tc>
          <w:tcPr>
            <w:tcW w:w="276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jc w:val="left"/>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参照公务员法管理事业编制</w:t>
            </w:r>
          </w:p>
        </w:tc>
        <w:tc>
          <w:tcPr>
            <w:tcW w:w="198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jc w:val="center"/>
              <w:rPr>
                <w:rFonts w:hint="default" w:ascii="Times New Roman" w:hAnsi="Times New Roman" w:eastAsia="等线" w:cs="Times New Roman"/>
                <w:color w:val="000000"/>
                <w:sz w:val="18"/>
                <w:szCs w:val="18"/>
                <w:lang w:val="en-US" w:eastAsia="zh-CN"/>
              </w:rPr>
            </w:pPr>
            <w:r>
              <w:rPr>
                <w:rFonts w:hint="default" w:ascii="Times New Roman" w:hAnsi="Times New Roman" w:eastAsia="等线" w:cs="Times New Roman"/>
                <w:color w:val="000000"/>
                <w:sz w:val="18"/>
                <w:szCs w:val="18"/>
                <w:lang w:val="en-US" w:eastAsia="zh-CN"/>
              </w:rPr>
              <w:t>18</w:t>
            </w:r>
          </w:p>
        </w:tc>
        <w:tc>
          <w:tcPr>
            <w:tcW w:w="20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jc w:val="center"/>
              <w:rPr>
                <w:rFonts w:hint="default" w:ascii="Times New Roman" w:hAnsi="Times New Roman" w:eastAsia="等线" w:cs="Times New Roman"/>
                <w:color w:val="000000"/>
                <w:sz w:val="18"/>
                <w:szCs w:val="18"/>
                <w:lang w:val="en-US" w:eastAsia="zh-CN"/>
              </w:rPr>
            </w:pPr>
            <w:r>
              <w:rPr>
                <w:rFonts w:hint="default" w:ascii="Times New Roman" w:hAnsi="Times New Roman" w:eastAsia="等线" w:cs="Times New Roman"/>
                <w:color w:val="000000"/>
                <w:sz w:val="18"/>
                <w:szCs w:val="18"/>
                <w:lang w:val="en-US" w:eastAsia="zh-CN"/>
              </w:rPr>
              <w:t>17</w:t>
            </w:r>
          </w:p>
        </w:tc>
        <w:tc>
          <w:tcPr>
            <w:tcW w:w="19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lang w:val="en-US" w:eastAsia="zh-CN"/>
              </w:rPr>
              <w:t>94.44</w:t>
            </w:r>
            <w:r>
              <w:rPr>
                <w:rFonts w:hint="default" w:ascii="Times New Roman" w:hAnsi="Times New Roman" w:eastAsia="等线" w:cs="Times New Roman"/>
                <w:color w:val="000000"/>
                <w:sz w:val="18"/>
                <w:szCs w:val="18"/>
              </w:rPr>
              <w:t>%</w:t>
            </w:r>
          </w:p>
        </w:tc>
      </w:tr>
      <w:tr>
        <w:tblPrEx>
          <w:tblCellMar>
            <w:top w:w="0" w:type="dxa"/>
            <w:left w:w="108" w:type="dxa"/>
            <w:bottom w:w="0" w:type="dxa"/>
            <w:right w:w="108" w:type="dxa"/>
          </w:tblCellMar>
        </w:tblPrEx>
        <w:trPr>
          <w:trHeight w:val="189" w:hRule="atLeast"/>
          <w:jc w:val="center"/>
        </w:trPr>
        <w:tc>
          <w:tcPr>
            <w:tcW w:w="276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jc w:val="left"/>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全额补助事业编制</w:t>
            </w:r>
          </w:p>
        </w:tc>
        <w:tc>
          <w:tcPr>
            <w:tcW w:w="198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jc w:val="center"/>
              <w:rPr>
                <w:rFonts w:hint="default" w:ascii="Times New Roman" w:hAnsi="Times New Roman" w:eastAsia="等线" w:cs="Times New Roman"/>
                <w:color w:val="000000"/>
                <w:sz w:val="18"/>
                <w:szCs w:val="18"/>
                <w:lang w:eastAsia="zh-CN"/>
              </w:rPr>
            </w:pPr>
            <w:r>
              <w:rPr>
                <w:rFonts w:hint="default" w:ascii="Times New Roman" w:hAnsi="Times New Roman" w:eastAsia="等线" w:cs="Times New Roman"/>
                <w:color w:val="000000"/>
                <w:sz w:val="18"/>
                <w:szCs w:val="18"/>
                <w:lang w:val="en-US" w:eastAsia="zh-CN"/>
              </w:rPr>
              <w:t>0</w:t>
            </w:r>
          </w:p>
        </w:tc>
        <w:tc>
          <w:tcPr>
            <w:tcW w:w="20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jc w:val="center"/>
              <w:rPr>
                <w:rFonts w:hint="default" w:ascii="Times New Roman" w:hAnsi="Times New Roman" w:eastAsia="等线" w:cs="Times New Roman"/>
                <w:color w:val="000000"/>
                <w:sz w:val="18"/>
                <w:szCs w:val="18"/>
                <w:lang w:eastAsia="zh-CN"/>
              </w:rPr>
            </w:pPr>
            <w:r>
              <w:rPr>
                <w:rFonts w:hint="default" w:ascii="Times New Roman" w:hAnsi="Times New Roman" w:eastAsia="等线" w:cs="Times New Roman"/>
                <w:color w:val="000000"/>
                <w:sz w:val="18"/>
                <w:szCs w:val="18"/>
                <w:lang w:val="en-US" w:eastAsia="zh-CN"/>
              </w:rPr>
              <w:t>0</w:t>
            </w:r>
          </w:p>
        </w:tc>
        <w:tc>
          <w:tcPr>
            <w:tcW w:w="19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lang w:val="en-US" w:eastAsia="zh-CN"/>
              </w:rPr>
              <w:t>0.0</w:t>
            </w:r>
            <w:r>
              <w:rPr>
                <w:rFonts w:hint="default" w:ascii="Times New Roman" w:hAnsi="Times New Roman" w:eastAsia="等线" w:cs="Times New Roman"/>
                <w:color w:val="000000"/>
                <w:sz w:val="18"/>
                <w:szCs w:val="18"/>
              </w:rPr>
              <w:t>0%</w:t>
            </w:r>
          </w:p>
        </w:tc>
      </w:tr>
      <w:tr>
        <w:tblPrEx>
          <w:tblCellMar>
            <w:top w:w="0" w:type="dxa"/>
            <w:left w:w="108" w:type="dxa"/>
            <w:bottom w:w="0" w:type="dxa"/>
            <w:right w:w="108" w:type="dxa"/>
          </w:tblCellMar>
        </w:tblPrEx>
        <w:trPr>
          <w:trHeight w:val="189" w:hRule="atLeast"/>
          <w:jc w:val="center"/>
        </w:trPr>
        <w:tc>
          <w:tcPr>
            <w:tcW w:w="276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jc w:val="center"/>
              <w:rPr>
                <w:rFonts w:hint="default"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sz w:val="18"/>
                <w:szCs w:val="18"/>
              </w:rPr>
              <w:t>合计</w:t>
            </w:r>
          </w:p>
        </w:tc>
        <w:tc>
          <w:tcPr>
            <w:tcW w:w="198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jc w:val="center"/>
              <w:rPr>
                <w:rFonts w:hint="default" w:ascii="Times New Roman" w:hAnsi="Times New Roman" w:eastAsia="等线" w:cs="Times New Roman"/>
                <w:b/>
                <w:bCs/>
                <w:color w:val="000000"/>
                <w:sz w:val="18"/>
                <w:szCs w:val="18"/>
                <w:lang w:val="en-US" w:eastAsia="zh-CN"/>
              </w:rPr>
            </w:pPr>
            <w:r>
              <w:rPr>
                <w:rFonts w:hint="default" w:ascii="Times New Roman" w:hAnsi="Times New Roman" w:eastAsia="等线" w:cs="Times New Roman"/>
                <w:b/>
                <w:bCs/>
                <w:color w:val="000000"/>
                <w:sz w:val="18"/>
                <w:szCs w:val="18"/>
                <w:lang w:val="en-US" w:eastAsia="zh-CN"/>
              </w:rPr>
              <w:t>18</w:t>
            </w:r>
          </w:p>
        </w:tc>
        <w:tc>
          <w:tcPr>
            <w:tcW w:w="20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jc w:val="center"/>
              <w:rPr>
                <w:rFonts w:hint="default" w:ascii="Times New Roman" w:hAnsi="Times New Roman" w:eastAsia="等线" w:cs="Times New Roman"/>
                <w:b/>
                <w:bCs/>
                <w:color w:val="000000"/>
                <w:sz w:val="18"/>
                <w:szCs w:val="18"/>
                <w:lang w:val="en-US" w:eastAsia="zh-CN"/>
              </w:rPr>
            </w:pPr>
            <w:r>
              <w:rPr>
                <w:rFonts w:hint="default" w:ascii="Times New Roman" w:hAnsi="Times New Roman" w:eastAsia="等线" w:cs="Times New Roman"/>
                <w:b/>
                <w:bCs/>
                <w:color w:val="000000"/>
                <w:sz w:val="18"/>
                <w:szCs w:val="18"/>
                <w:lang w:val="en-US" w:eastAsia="zh-CN"/>
              </w:rPr>
              <w:t>17</w:t>
            </w:r>
          </w:p>
        </w:tc>
        <w:tc>
          <w:tcPr>
            <w:tcW w:w="19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jc w:val="center"/>
              <w:rPr>
                <w:rFonts w:hint="default" w:ascii="Times New Roman" w:hAnsi="Times New Roman" w:eastAsia="等线" w:cs="Times New Roman"/>
                <w:b/>
                <w:bCs/>
                <w:color w:val="000000"/>
                <w:sz w:val="18"/>
                <w:szCs w:val="18"/>
              </w:rPr>
            </w:pPr>
            <w:r>
              <w:rPr>
                <w:rFonts w:hint="default" w:ascii="Times New Roman" w:hAnsi="Times New Roman" w:eastAsia="等线" w:cs="Times New Roman"/>
                <w:color w:val="000000"/>
                <w:sz w:val="18"/>
                <w:szCs w:val="18"/>
                <w:lang w:val="en-US" w:eastAsia="zh-CN"/>
              </w:rPr>
              <w:t>94.44</w:t>
            </w:r>
            <w:r>
              <w:rPr>
                <w:rFonts w:hint="default" w:ascii="Times New Roman" w:hAnsi="Times New Roman" w:eastAsia="等线" w:cs="Times New Roman"/>
                <w:color w:val="000000"/>
                <w:sz w:val="18"/>
                <w:szCs w:val="18"/>
              </w:rPr>
              <w:t>%</w:t>
            </w:r>
          </w:p>
        </w:tc>
      </w:tr>
    </w:tbl>
    <w:p>
      <w:pPr>
        <w:ind w:firstLine="560" w:firstLineChars="200"/>
        <w:outlineLvl w:val="0"/>
        <w:rPr>
          <w:rFonts w:hint="default" w:ascii="Times New Roman" w:hAnsi="Times New Roman" w:eastAsia="楷体_GB2312" w:cs="Times New Roman"/>
          <w:sz w:val="28"/>
          <w:szCs w:val="28"/>
        </w:rPr>
      </w:pPr>
      <w:bookmarkStart w:id="6" w:name="_Toc697655606"/>
      <w:r>
        <w:rPr>
          <w:rFonts w:hint="default" w:ascii="Times New Roman" w:hAnsi="Times New Roman" w:eastAsia="楷体_GB2312" w:cs="Times New Roman"/>
          <w:sz w:val="28"/>
          <w:szCs w:val="28"/>
        </w:rPr>
        <w:t>（二）部门职能</w:t>
      </w:r>
      <w:bookmarkEnd w:id="6"/>
    </w:p>
    <w:p>
      <w:pPr>
        <w:numPr>
          <w:ilvl w:val="0"/>
          <w:numId w:val="0"/>
        </w:numPr>
        <w:adjustRightInd/>
        <w:ind w:firstLine="60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auto"/>
          <w:kern w:val="0"/>
          <w:sz w:val="30"/>
          <w:szCs w:val="30"/>
          <w:lang w:val="zh-TW" w:eastAsia="zh-CN" w:bidi="ar-SA"/>
        </w:rPr>
        <w:t>市社科联</w:t>
      </w:r>
      <w:r>
        <w:rPr>
          <w:rFonts w:hint="default" w:ascii="Times New Roman" w:hAnsi="Times New Roman" w:eastAsia="仿宋_GB2312" w:cs="Times New Roman"/>
          <w:color w:val="auto"/>
          <w:kern w:val="0"/>
          <w:sz w:val="30"/>
          <w:szCs w:val="30"/>
          <w:lang w:val="zh-TW" w:eastAsia="zh-TW" w:bidi="ar-SA"/>
        </w:rPr>
        <w:t>部门主要职责</w:t>
      </w:r>
      <w:r>
        <w:rPr>
          <w:rFonts w:hint="default" w:ascii="Times New Roman" w:hAnsi="Times New Roman" w:eastAsia="仿宋_GB2312" w:cs="Times New Roman"/>
          <w:color w:val="auto"/>
          <w:kern w:val="0"/>
          <w:sz w:val="30"/>
          <w:szCs w:val="30"/>
          <w:lang w:val="zh-TW" w:eastAsia="zh-CN" w:bidi="ar-SA"/>
        </w:rPr>
        <w:t>是：（</w:t>
      </w:r>
      <w:r>
        <w:rPr>
          <w:rFonts w:hint="default" w:ascii="Times New Roman" w:hAnsi="Times New Roman" w:eastAsia="仿宋_GB2312" w:cs="Times New Roman"/>
          <w:color w:val="auto"/>
          <w:kern w:val="0"/>
          <w:sz w:val="30"/>
          <w:szCs w:val="30"/>
          <w:lang w:val="en-US" w:eastAsia="zh-CN" w:bidi="ar-SA"/>
        </w:rPr>
        <w:t>1</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zh-TW" w:eastAsia="zh-TW" w:bidi="ar-SA"/>
        </w:rPr>
        <w:t>围绕昆明市改革开放和现代化建设的重大理论问题及实践问题，组织社会科学工作者开展科研、学术交流和学术合作</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zh-TW" w:eastAsia="zh-TW" w:bidi="ar-SA"/>
        </w:rPr>
        <w:t>为市委、市政府决策服务。</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en-US" w:eastAsia="zh-CN" w:bidi="ar-SA"/>
        </w:rPr>
        <w:t>2</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zh-TW" w:eastAsia="zh-TW" w:bidi="ar-SA"/>
        </w:rPr>
        <w:t>领导和管理全市社会科学各学会、协会、研究会的工作，充分发挥党和政府联系广大社会科学工作者的桥梁和纽带作用。</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en-US" w:eastAsia="zh-CN" w:bidi="ar-SA"/>
        </w:rPr>
        <w:t>3</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zh-TW" w:eastAsia="zh-TW" w:bidi="ar-SA"/>
        </w:rPr>
        <w:t>组织实施全市社会科学知识普及工作，提高市民哲学社会科学素质。</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en-US" w:eastAsia="zh-CN" w:bidi="ar-SA"/>
        </w:rPr>
        <w:t>4</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zh-TW" w:eastAsia="zh-TW" w:bidi="ar-SA"/>
        </w:rPr>
        <w:t>编制和组织实施全市社会科学事业发展规划，负责昆明市社会科学规划办公室的日常工作。</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en-US" w:eastAsia="zh-CN" w:bidi="ar-SA"/>
        </w:rPr>
        <w:t>5</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zh-TW" w:eastAsia="zh-TW" w:bidi="ar-SA"/>
        </w:rPr>
        <w:t>承担昆明市社会科学优秀成果评奖办公室的日常工作，组织实施全市社会科学优秀成果评奖活动，承办市政府社会科学优秀成果评奖工作，促进社会科学研究成果的转化、运用。</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en-US" w:eastAsia="zh-CN" w:bidi="ar-SA"/>
        </w:rPr>
        <w:t>6</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zh-TW" w:eastAsia="zh-TW" w:bidi="ar-SA"/>
        </w:rPr>
        <w:t>培养、选拔和推荐社会科学优秀人才和学术带头人。</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en-US" w:eastAsia="zh-CN" w:bidi="ar-SA"/>
        </w:rPr>
        <w:t>7</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zh-TW" w:eastAsia="zh-TW" w:bidi="ar-SA"/>
        </w:rPr>
        <w:t>关心和维护科学团体和社科工作者的合法权益；评选、表彰社会科学先进学会和先进工作者。</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en-US" w:eastAsia="zh-CN" w:bidi="ar-SA"/>
        </w:rPr>
        <w:t>8</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zh-TW" w:eastAsia="zh-TW" w:bidi="ar-SA"/>
        </w:rPr>
        <w:t>编辑出版社科期刊和社科丛书；开展社科信息咨询服务活动。</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en-US" w:eastAsia="zh-CN" w:bidi="ar-SA"/>
        </w:rPr>
        <w:t>9</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zh-TW" w:eastAsia="zh-TW" w:bidi="ar-SA"/>
        </w:rPr>
        <w:t>指导县（市）区以及市级社科研究机构、组织和大专院校的哲学社会科学工作；指导县（市）区社科联建设。</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en-US" w:eastAsia="zh-CN" w:bidi="ar-SA"/>
        </w:rPr>
        <w:t>10</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zh-TW" w:eastAsia="zh-TW" w:bidi="ar-SA"/>
        </w:rPr>
        <w:t>修改和制定市社科联《章程》，按照《章程》定期召开昆明市社会科学界代表大会和委员会、常务委员会会议，审议和批准昆明市社会科学界年度工作报告。</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en-US" w:eastAsia="zh-CN" w:bidi="ar-SA"/>
        </w:rPr>
        <w:t>11</w:t>
      </w:r>
      <w:r>
        <w:rPr>
          <w:rFonts w:hint="default" w:ascii="Times New Roman" w:hAnsi="Times New Roman" w:eastAsia="仿宋_GB2312" w:cs="Times New Roman"/>
          <w:color w:val="auto"/>
          <w:kern w:val="0"/>
          <w:sz w:val="30"/>
          <w:szCs w:val="30"/>
          <w:lang w:val="zh-TW" w:eastAsia="zh-CN" w:bidi="ar-SA"/>
        </w:rPr>
        <w:t>）</w:t>
      </w:r>
      <w:r>
        <w:rPr>
          <w:rFonts w:hint="default" w:ascii="Times New Roman" w:hAnsi="Times New Roman" w:eastAsia="仿宋_GB2312" w:cs="Times New Roman"/>
          <w:color w:val="auto"/>
          <w:kern w:val="0"/>
          <w:sz w:val="30"/>
          <w:szCs w:val="30"/>
          <w:lang w:val="zh-TW" w:eastAsia="zh-TW" w:bidi="ar-SA"/>
        </w:rPr>
        <w:t>完成市委、市政府和省有关部门交办的其他工作。</w:t>
      </w:r>
    </w:p>
    <w:p>
      <w:pPr>
        <w:ind w:firstLine="560" w:firstLineChars="200"/>
        <w:outlineLvl w:val="0"/>
        <w:rPr>
          <w:rFonts w:hint="default" w:ascii="Times New Roman" w:hAnsi="Times New Roman" w:eastAsia="楷体_GB2312" w:cs="Times New Roman"/>
          <w:sz w:val="28"/>
          <w:szCs w:val="28"/>
        </w:rPr>
      </w:pPr>
      <w:bookmarkStart w:id="7" w:name="_Toc305964545"/>
      <w:r>
        <w:rPr>
          <w:rFonts w:hint="default" w:ascii="Times New Roman" w:hAnsi="Times New Roman" w:eastAsia="楷体_GB2312" w:cs="Times New Roman"/>
          <w:sz w:val="28"/>
          <w:szCs w:val="28"/>
        </w:rPr>
        <w:t>（三）部门202</w:t>
      </w:r>
      <w:r>
        <w:rPr>
          <w:rFonts w:hint="default" w:ascii="Times New Roman" w:hAnsi="Times New Roman" w:eastAsia="楷体_GB2312" w:cs="Times New Roman"/>
          <w:sz w:val="28"/>
          <w:szCs w:val="28"/>
          <w:lang w:val="en-US" w:eastAsia="zh-CN"/>
        </w:rPr>
        <w:t>4</w:t>
      </w:r>
      <w:r>
        <w:rPr>
          <w:rFonts w:hint="default" w:ascii="Times New Roman" w:hAnsi="Times New Roman" w:eastAsia="楷体_GB2312" w:cs="Times New Roman"/>
          <w:sz w:val="28"/>
          <w:szCs w:val="28"/>
        </w:rPr>
        <w:t>年工作完成情况</w:t>
      </w:r>
      <w:bookmarkEnd w:id="7"/>
    </w:p>
    <w:p>
      <w:pPr>
        <w:topLinePun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在</w:t>
      </w:r>
      <w:r>
        <w:rPr>
          <w:rFonts w:hint="default" w:ascii="Times New Roman" w:hAnsi="Times New Roman" w:eastAsia="仿宋_GB2312" w:cs="Times New Roman"/>
          <w:sz w:val="28"/>
          <w:szCs w:val="28"/>
          <w:lang w:val="zh-TW" w:eastAsia="zh-TW"/>
        </w:rPr>
        <w:t>扎实推进</w:t>
      </w:r>
      <w:r>
        <w:rPr>
          <w:rFonts w:hint="default" w:ascii="Times New Roman" w:hAnsi="Times New Roman" w:eastAsia="仿宋_GB2312" w:cs="Times New Roman"/>
          <w:sz w:val="28"/>
          <w:szCs w:val="28"/>
          <w:lang w:val="en-US" w:eastAsia="zh-CN"/>
        </w:rPr>
        <w:t>哲学社会科学</w:t>
      </w:r>
      <w:r>
        <w:rPr>
          <w:rFonts w:hint="default" w:ascii="Times New Roman" w:hAnsi="Times New Roman" w:eastAsia="仿宋_GB2312" w:cs="Times New Roman"/>
          <w:sz w:val="28"/>
          <w:szCs w:val="28"/>
          <w:lang w:val="zh-TW" w:eastAsia="zh-TW"/>
        </w:rPr>
        <w:t>各项工作创新落实，</w:t>
      </w:r>
      <w:r>
        <w:rPr>
          <w:rFonts w:hint="default" w:ascii="Times New Roman" w:hAnsi="Times New Roman" w:eastAsia="仿宋_GB2312" w:cs="Times New Roman"/>
          <w:sz w:val="28"/>
          <w:szCs w:val="28"/>
          <w:lang w:val="en-US" w:eastAsia="zh-CN"/>
        </w:rPr>
        <w:t>大力繁荣发展哲学社会科学事业，推动哲学社会科学工作服务市委、市政府中心的智囊团作用走在全省前列开展了一系列工作</w:t>
      </w:r>
      <w:r>
        <w:rPr>
          <w:rFonts w:hint="default" w:ascii="Times New Roman" w:hAnsi="Times New Roman" w:eastAsia="仿宋_GB2312" w:cs="Times New Roman"/>
          <w:color w:val="000000"/>
          <w:sz w:val="28"/>
          <w:szCs w:val="28"/>
        </w:rPr>
        <w:t>等方面较好</w:t>
      </w:r>
      <w:r>
        <w:rPr>
          <w:rFonts w:hint="default" w:ascii="Times New Roman" w:hAnsi="Times New Roman" w:eastAsia="仿宋_GB2312" w:cs="Times New Roman"/>
          <w:sz w:val="28"/>
          <w:szCs w:val="28"/>
        </w:rPr>
        <w:t>地完成了计划目标，具体如下：</w:t>
      </w:r>
    </w:p>
    <w:p>
      <w:pPr>
        <w:topLinePunct/>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市</w:t>
      </w:r>
      <w:r>
        <w:rPr>
          <w:rFonts w:hint="default" w:ascii="Times New Roman" w:hAnsi="Times New Roman" w:eastAsia="楷体" w:cs="Times New Roman"/>
          <w:sz w:val="24"/>
          <w:szCs w:val="24"/>
          <w:lang w:eastAsia="zh-CN"/>
        </w:rPr>
        <w:t>社科联</w:t>
      </w:r>
      <w:r>
        <w:rPr>
          <w:rFonts w:hint="default" w:ascii="Times New Roman" w:hAnsi="Times New Roman" w:eastAsia="楷体" w:cs="Times New Roman"/>
          <w:sz w:val="24"/>
          <w:szCs w:val="24"/>
        </w:rPr>
        <w:t>202</w:t>
      </w:r>
      <w:r>
        <w:rPr>
          <w:rFonts w:hint="default" w:ascii="Times New Roman" w:hAnsi="Times New Roman" w:eastAsia="楷体" w:cs="Times New Roman"/>
          <w:sz w:val="24"/>
          <w:szCs w:val="24"/>
          <w:lang w:val="en-US" w:eastAsia="zh-CN"/>
        </w:rPr>
        <w:t>4</w:t>
      </w:r>
      <w:r>
        <w:rPr>
          <w:rFonts w:hint="default" w:ascii="Times New Roman" w:hAnsi="Times New Roman" w:eastAsia="楷体" w:cs="Times New Roman"/>
          <w:sz w:val="24"/>
          <w:szCs w:val="24"/>
        </w:rPr>
        <w:t>年完成工作明细表</w:t>
      </w:r>
    </w:p>
    <w:tbl>
      <w:tblPr>
        <w:tblStyle w:val="89"/>
        <w:tblW w:w="8784" w:type="dxa"/>
        <w:tblInd w:w="113" w:type="dxa"/>
        <w:tblLayout w:type="autofit"/>
        <w:tblCellMar>
          <w:top w:w="0" w:type="dxa"/>
          <w:left w:w="108" w:type="dxa"/>
          <w:bottom w:w="0" w:type="dxa"/>
          <w:right w:w="108" w:type="dxa"/>
        </w:tblCellMar>
      </w:tblPr>
      <w:tblGrid>
        <w:gridCol w:w="663"/>
        <w:gridCol w:w="1033"/>
        <w:gridCol w:w="993"/>
        <w:gridCol w:w="6095"/>
      </w:tblGrid>
      <w:tr>
        <w:tblPrEx>
          <w:tblCellMar>
            <w:top w:w="0" w:type="dxa"/>
            <w:left w:w="108" w:type="dxa"/>
            <w:bottom w:w="0" w:type="dxa"/>
            <w:right w:w="108" w:type="dxa"/>
          </w:tblCellMar>
        </w:tblPrEx>
        <w:trPr>
          <w:trHeight w:val="427" w:hRule="atLeast"/>
          <w:tblHeader/>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序号</w:t>
            </w:r>
          </w:p>
        </w:tc>
        <w:tc>
          <w:tcPr>
            <w:tcW w:w="1033" w:type="dxa"/>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jc w:val="center"/>
              <w:rPr>
                <w:rFonts w:hint="default" w:ascii="Times New Roman" w:hAnsi="Times New Roman" w:eastAsia="等线" w:cs="Times New Roman"/>
                <w:b/>
                <w:bCs/>
                <w:color w:val="000000"/>
                <w:sz w:val="18"/>
                <w:szCs w:val="18"/>
              </w:rPr>
            </w:pPr>
            <w:r>
              <w:rPr>
                <w:rFonts w:hint="default" w:ascii="Times New Roman" w:hAnsi="Times New Roman" w:cs="Times New Roman"/>
                <w:b/>
                <w:bCs/>
                <w:color w:val="000000"/>
                <w:sz w:val="18"/>
                <w:szCs w:val="18"/>
              </w:rPr>
              <w:t>工作任务</w:t>
            </w:r>
          </w:p>
        </w:tc>
        <w:tc>
          <w:tcPr>
            <w:tcW w:w="993" w:type="dxa"/>
            <w:tcBorders>
              <w:top w:val="single" w:color="auto" w:sz="4" w:space="0"/>
              <w:left w:val="nil"/>
              <w:bottom w:val="single" w:color="auto" w:sz="4" w:space="0"/>
              <w:right w:val="single" w:color="auto" w:sz="4" w:space="0"/>
            </w:tcBorders>
            <w:shd w:val="clear" w:color="auto" w:fill="auto"/>
            <w:vAlign w:val="center"/>
          </w:tcPr>
          <w:p>
            <w:pPr>
              <w:overflowPunct/>
              <w:autoSpaceDE/>
              <w:autoSpaceDN/>
              <w:adjustRightInd/>
              <w:jc w:val="center"/>
              <w:rPr>
                <w:rFonts w:hint="default" w:ascii="Times New Roman" w:hAnsi="Times New Roman" w:eastAsia="等线" w:cs="Times New Roman"/>
                <w:b/>
                <w:bCs/>
                <w:color w:val="000000"/>
                <w:sz w:val="18"/>
                <w:szCs w:val="18"/>
              </w:rPr>
            </w:pPr>
            <w:r>
              <w:rPr>
                <w:rFonts w:hint="default" w:ascii="Times New Roman" w:hAnsi="Times New Roman" w:cs="Times New Roman"/>
                <w:b/>
                <w:bCs/>
                <w:color w:val="000000"/>
                <w:sz w:val="18"/>
                <w:szCs w:val="18"/>
              </w:rPr>
              <w:t>任务分解</w:t>
            </w:r>
          </w:p>
        </w:tc>
        <w:tc>
          <w:tcPr>
            <w:tcW w:w="6095" w:type="dxa"/>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jc w:val="center"/>
              <w:rPr>
                <w:rFonts w:hint="default" w:ascii="Times New Roman" w:hAnsi="Times New Roman" w:eastAsia="等线" w:cs="Times New Roman"/>
                <w:b/>
                <w:bCs/>
                <w:color w:val="000000"/>
                <w:sz w:val="18"/>
                <w:szCs w:val="18"/>
              </w:rPr>
            </w:pPr>
            <w:r>
              <w:rPr>
                <w:rFonts w:hint="default" w:ascii="Times New Roman" w:hAnsi="Times New Roman" w:cs="Times New Roman"/>
                <w:b/>
                <w:bCs/>
                <w:color w:val="000000"/>
                <w:sz w:val="18"/>
                <w:szCs w:val="18"/>
              </w:rPr>
              <w:t>产出</w:t>
            </w:r>
          </w:p>
        </w:tc>
      </w:tr>
      <w:tr>
        <w:tblPrEx>
          <w:tblCellMar>
            <w:top w:w="0" w:type="dxa"/>
            <w:left w:w="108" w:type="dxa"/>
            <w:bottom w:w="0" w:type="dxa"/>
            <w:right w:w="108" w:type="dxa"/>
          </w:tblCellMar>
        </w:tblPrEx>
        <w:trPr>
          <w:trHeight w:val="539" w:hRule="atLeast"/>
        </w:trPr>
        <w:tc>
          <w:tcPr>
            <w:tcW w:w="663" w:type="dxa"/>
            <w:vMerge w:val="restart"/>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w:t>
            </w:r>
          </w:p>
        </w:tc>
        <w:tc>
          <w:tcPr>
            <w:tcW w:w="1033" w:type="dxa"/>
            <w:vMerge w:val="restart"/>
            <w:tcBorders>
              <w:top w:val="nil"/>
              <w:left w:val="single" w:color="auto" w:sz="4" w:space="0"/>
              <w:bottom w:val="single" w:color="auto" w:sz="4" w:space="0"/>
              <w:right w:val="single" w:color="auto" w:sz="4" w:space="0"/>
            </w:tcBorders>
            <w:shd w:val="clear" w:color="auto" w:fill="auto"/>
            <w:vAlign w:val="center"/>
          </w:tcPr>
          <w:p>
            <w:pPr>
              <w:spacing w:line="570" w:lineRule="exact"/>
              <w:ind w:firstLine="360" w:firstLineChars="200"/>
              <w:rPr>
                <w:rFonts w:hint="default" w:ascii="Times New Roman" w:hAnsi="Times New Roman" w:cs="Times New Roman" w:eastAsiaTheme="minorEastAsia"/>
                <w:kern w:val="0"/>
                <w:sz w:val="18"/>
                <w:szCs w:val="18"/>
                <w:lang w:val="en-US" w:eastAsia="zh-CN" w:bidi="ar"/>
              </w:rPr>
            </w:pPr>
            <w:r>
              <w:rPr>
                <w:rFonts w:hint="default" w:ascii="Times New Roman" w:hAnsi="Times New Roman" w:cs="Times New Roman" w:eastAsiaTheme="minorEastAsia"/>
                <w:kern w:val="0"/>
                <w:sz w:val="18"/>
                <w:szCs w:val="18"/>
                <w:lang w:val="en-US" w:eastAsia="zh-CN" w:bidi="ar"/>
              </w:rPr>
              <w:t>深入贯彻习近平总书记考察云南重要讲话精神，助力昆明迈开走在全省前列的坚实步伐</w:t>
            </w:r>
          </w:p>
          <w:p>
            <w:pPr>
              <w:overflowPunct/>
              <w:autoSpaceDE/>
              <w:autoSpaceDN/>
              <w:adjustRightInd/>
              <w:jc w:val="left"/>
              <w:rPr>
                <w:rFonts w:hint="default" w:ascii="Times New Roman" w:hAnsi="Times New Roman" w:cs="Times New Roman"/>
                <w:color w:val="000000"/>
                <w:sz w:val="18"/>
                <w:szCs w:val="18"/>
              </w:rPr>
            </w:pPr>
          </w:p>
        </w:tc>
        <w:tc>
          <w:tcPr>
            <w:tcW w:w="993" w:type="dxa"/>
            <w:tcBorders>
              <w:top w:val="nil"/>
              <w:left w:val="nil"/>
              <w:bottom w:val="single" w:color="auto" w:sz="4" w:space="0"/>
              <w:right w:val="single" w:color="auto" w:sz="4" w:space="0"/>
            </w:tcBorders>
            <w:shd w:val="clear" w:color="auto" w:fill="auto"/>
            <w:vAlign w:val="center"/>
          </w:tcPr>
          <w:p>
            <w:pPr>
              <w:overflowPunct/>
              <w:autoSpaceDE/>
              <w:autoSpaceDN/>
              <w:adjustRightInd/>
              <w:jc w:val="left"/>
              <w:rPr>
                <w:rFonts w:hint="default" w:ascii="Times New Roman" w:hAnsi="Times New Roman" w:cs="Times New Roman"/>
                <w:color w:val="000000"/>
                <w:sz w:val="18"/>
                <w:szCs w:val="18"/>
              </w:rPr>
            </w:pPr>
            <w:r>
              <w:rPr>
                <w:rFonts w:hint="default" w:ascii="Times New Roman" w:hAnsi="Times New Roman" w:cs="Times New Roman" w:eastAsiaTheme="minorEastAsia"/>
                <w:color w:val="auto"/>
                <w:kern w:val="0"/>
                <w:sz w:val="18"/>
                <w:szCs w:val="18"/>
                <w:lang w:val="en-US" w:eastAsia="zh-CN" w:bidi="ar"/>
              </w:rPr>
              <w:t>坚持服务大局，积极发挥“思想库”“智囊团”作用</w:t>
            </w:r>
          </w:p>
        </w:tc>
        <w:tc>
          <w:tcPr>
            <w:tcW w:w="6095" w:type="dxa"/>
            <w:tcBorders>
              <w:top w:val="nil"/>
              <w:left w:val="nil"/>
              <w:bottom w:val="single" w:color="auto" w:sz="4" w:space="0"/>
              <w:right w:val="single" w:color="auto" w:sz="4" w:space="0"/>
            </w:tcBorders>
            <w:shd w:val="clear" w:color="auto" w:fill="auto"/>
            <w:vAlign w:val="center"/>
          </w:tcPr>
          <w:p>
            <w:pPr>
              <w:overflowPunct/>
              <w:autoSpaceDE/>
              <w:autoSpaceDN/>
              <w:adjustRightInd/>
              <w:jc w:val="left"/>
              <w:rPr>
                <w:rFonts w:hint="default" w:ascii="Times New Roman" w:hAnsi="Times New Roman" w:eastAsia="等线" w:cs="Times New Roman"/>
                <w:color w:val="000000"/>
                <w:sz w:val="18"/>
                <w:szCs w:val="18"/>
              </w:rPr>
            </w:pPr>
            <w:r>
              <w:rPr>
                <w:rFonts w:hint="default" w:ascii="Times New Roman" w:hAnsi="Times New Roman" w:cs="Times New Roman" w:eastAsiaTheme="minorEastAsia"/>
                <w:color w:val="auto"/>
                <w:spacing w:val="8"/>
                <w:kern w:val="2"/>
                <w:sz w:val="18"/>
                <w:szCs w:val="18"/>
                <w:u w:val="none"/>
                <w:shd w:val="clear" w:color="auto" w:fill="FFFFFF"/>
                <w:lang w:val="en-US" w:eastAsia="zh-CN" w:bidi="ar-SA"/>
              </w:rPr>
              <w:t>一是扎实开展市级社科课题项目工作。聚焦“六个春城”建设等经济社会发展重点工作和《昆明市“十四五”时期哲学社会科学发展规划》中设置的理论研究专栏，组织开展2024年昆明市哲学社会科学课题研究工作，拟定了18个申报选题指南，申报范围扩大至磨憨、滇中新区两地，在我市社科界反响热烈，吸引了广大社科人才积极申报，通过专家评审立项20项课题（含9项定向委托课题），目前已全部已进入结项评审、验收阶段。并完成结项评审、验收2023年度社科规划研究课题21项。资助《明代云南治理与开发》《语言生态视角下新时代乡村语言文明建设研究》2本昆明市2024年度哲学社会科学优秀成果著作出版。完成《昆明市2022年度社科规划课题成果选》一册的编辑出版工作。二是注重课题成果转化率。始终把社会评价和实践效果作为成果评价的主要标准，不断提高市级课题的成果转化率。研究制定《昆明市社科联社科研究成果跟踪问效暂行办法》，通过建立科学的跟踪问效机制，对社科研究成果进行全过程、全方位的监督与评估，促进社科研究质量的持续提升和社会价值的有效实现。2024年完成的课题评审中，《昆明市提升民族互嵌式社区建设质量 服务少数民族流动人口的几点建议》等3篇成果获市长、副市长、统战部长等批示；《推动昆明与磨憨口岸岸腹城市经济协同发展的建设》等5篇成果被云南省政协、民革云南省委、云南省社科联采用；《建设大滇池生态经济区的思考》等5篇成果在学术期刊公开发表。三是合作开展理论研究。积极服务部门需求。突破市级研究经费不足的制约，创新研究模式，与有关部门和团体合作，组织完成9项委托课题，实现社科研究模式的合作双赢。用好合作平台，积极融入昆明市新型智库工作，鼓励、支持、引导市属社科智库参与智库课题研究，探索建立常态化科研合作机制，在提升自身知名度的同时，更为昆明高质量发展出谋划策。我市社科智库－昆明南亚东南亚国际物流研究院参与完成的《昆明国际陆港建设对策研究》课题，荣获2023年度中国发展研究奖三等奖，这是昆明首次荣获由国务院颁发的奖项。四是畅通研究成果转化利用渠道。《昆明社会科学》是一份办刊36年的社科学术内刊，一直是昆明乃至云南社科对策研究成果交流的重要阵地，为促进研究成果的及时转化与高效利用，2024年我们再一次对其栏目进行了优化，增加了“社科研究”“社科话语”等栏目，在保持其理论研究深度的基础上，增强了对云南和昆明经济社会发展的关注，全年共刊发社科对策理论文章13篇，取得了较好的社会效应；同时，撰写《昆明社科咨政报告》，面向昆明全市各部门、各团体收集、整理对昆明经济、社会、民生等现实问题有真知灼见的对策性研究报告，2024年共上报4期，获市委市政府领导批示3次，其中《关于推进昆明市中小学生心理健康教育的建议》部分要点转化为市政府规范性文件。五是积极申报省级社科课题项目。向省社科联推荐2024年度云南省哲学社会科学规划科普项目选题8个、项目申报2个，立项2个；云南省新时代文明实践社科普及志愿服务项目选题4个、项目申报6个、立项2个，推荐云南省哲学社会科学规划智库项目选题4个。</w:t>
            </w:r>
          </w:p>
        </w:tc>
      </w:tr>
      <w:tr>
        <w:tblPrEx>
          <w:tblCellMar>
            <w:top w:w="0" w:type="dxa"/>
            <w:left w:w="108" w:type="dxa"/>
            <w:bottom w:w="0" w:type="dxa"/>
            <w:right w:w="108" w:type="dxa"/>
          </w:tblCellMar>
        </w:tblPrEx>
        <w:trPr>
          <w:trHeight w:val="687" w:hRule="atLeast"/>
        </w:trPr>
        <w:tc>
          <w:tcPr>
            <w:tcW w:w="66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jc w:val="left"/>
              <w:rPr>
                <w:rFonts w:hint="default" w:ascii="Times New Roman" w:hAnsi="Times New Roman" w:eastAsia="等线" w:cs="Times New Roman"/>
                <w:color w:val="000000"/>
                <w:sz w:val="18"/>
                <w:szCs w:val="18"/>
              </w:rPr>
            </w:pPr>
          </w:p>
        </w:tc>
        <w:tc>
          <w:tcPr>
            <w:tcW w:w="103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jc w:val="left"/>
              <w:rPr>
                <w:rFonts w:hint="default" w:ascii="Times New Roman" w:hAnsi="Times New Roman" w:cs="Times New Roman"/>
                <w:color w:val="000000"/>
                <w:sz w:val="18"/>
                <w:szCs w:val="18"/>
              </w:rPr>
            </w:pPr>
          </w:p>
        </w:tc>
        <w:tc>
          <w:tcPr>
            <w:tcW w:w="993" w:type="dxa"/>
            <w:tcBorders>
              <w:top w:val="nil"/>
              <w:left w:val="nil"/>
              <w:bottom w:val="single" w:color="auto" w:sz="4" w:space="0"/>
              <w:right w:val="single" w:color="auto" w:sz="4" w:space="0"/>
            </w:tcBorders>
            <w:shd w:val="clear" w:color="auto" w:fill="auto"/>
            <w:vAlign w:val="center"/>
          </w:tcPr>
          <w:p>
            <w:pPr>
              <w:overflowPunct/>
              <w:autoSpaceDE/>
              <w:autoSpaceDN/>
              <w:adjustRightInd/>
              <w:jc w:val="left"/>
              <w:rPr>
                <w:rFonts w:hint="default" w:ascii="Times New Roman" w:hAnsi="Times New Roman" w:cs="Times New Roman"/>
                <w:color w:val="000000"/>
                <w:sz w:val="18"/>
                <w:szCs w:val="18"/>
              </w:rPr>
            </w:pPr>
            <w:r>
              <w:rPr>
                <w:rFonts w:hint="default" w:ascii="Times New Roman" w:hAnsi="Times New Roman" w:cs="Times New Roman" w:eastAsiaTheme="minorEastAsia"/>
                <w:b w:val="0"/>
                <w:bCs w:val="0"/>
                <w:color w:val="000000"/>
                <w:kern w:val="2"/>
                <w:sz w:val="18"/>
                <w:szCs w:val="18"/>
                <w:lang w:val="en-US" w:eastAsia="zh-CN" w:bidi="ar"/>
              </w:rPr>
              <w:t>坚持科普惠民，助力党的创新理论“飞入寻常百姓家”</w:t>
            </w:r>
          </w:p>
        </w:tc>
        <w:tc>
          <w:tcPr>
            <w:tcW w:w="6095" w:type="dxa"/>
            <w:tcBorders>
              <w:top w:val="nil"/>
              <w:left w:val="nil"/>
              <w:bottom w:val="single" w:color="auto" w:sz="4" w:space="0"/>
              <w:right w:val="single" w:color="auto" w:sz="4" w:space="0"/>
            </w:tcBorders>
            <w:shd w:val="clear" w:color="auto" w:fill="auto"/>
            <w:vAlign w:val="center"/>
          </w:tcPr>
          <w:p>
            <w:pPr>
              <w:overflowPunct/>
              <w:autoSpaceDE/>
              <w:autoSpaceDN/>
              <w:adjustRightInd/>
              <w:jc w:val="left"/>
              <w:rPr>
                <w:rFonts w:hint="default" w:ascii="Times New Roman" w:hAnsi="Times New Roman" w:cs="Times New Roman" w:eastAsiaTheme="minorEastAsia"/>
                <w:color w:val="auto"/>
                <w:spacing w:val="8"/>
                <w:kern w:val="2"/>
                <w:sz w:val="18"/>
                <w:szCs w:val="18"/>
                <w:u w:val="none"/>
                <w:shd w:val="clear" w:color="auto" w:fill="FFFFFF"/>
                <w:lang w:val="en-US" w:eastAsia="zh-CN" w:bidi="ar-SA"/>
              </w:rPr>
            </w:pPr>
            <w:r>
              <w:rPr>
                <w:rFonts w:hint="default" w:ascii="Times New Roman" w:hAnsi="Times New Roman" w:cs="Times New Roman" w:eastAsiaTheme="minorEastAsia"/>
                <w:color w:val="auto"/>
                <w:spacing w:val="8"/>
                <w:kern w:val="2"/>
                <w:sz w:val="18"/>
                <w:szCs w:val="18"/>
                <w:u w:val="none"/>
                <w:shd w:val="clear" w:color="auto" w:fill="FFFFFF"/>
                <w:lang w:val="en-US" w:eastAsia="zh-CN" w:bidi="ar-SA"/>
              </w:rPr>
              <w:t>致力于传播党的创新理论知识，提升公众社科素养、促进社会和谐稳定，广泛深入开展社科普及活动，不断创新方式方法，丰富内容，开展形式多样的社科普及活动，将社会科学知识普及到广大群众中去。一是精心筹划并有力推进社会科学普及宣传周活动。与全省同频共振，采用“1+14+N”的模式，实现市、县两级及省、市级社科普及示范基地的高效联动，深入广泛地开展了2024年社科普及宣传周活动。为扩大影响力，我们整合了社区党群服务中心、新时代文明实践中心等资源，动员了20余个部门和众多学会协会积极参与启动仪式，共同助力社科普及工作。在宣传周期间，昆明市16家省、市级科普基地充分发挥示范引领作用，通过展览、讲座、征文、知识竞赛、文艺展演及媒体宣传等多元化形式，举办了18场丰富多彩的文化展示活动，累计展演超过30场次。这些活动不仅深入宣传了习近平文化思想，普及了社科知识，传播了科学思想，更激发了科普工作者的热情。同时，我们还组织了普法宣传和现场咨询活动，邀请了10位法律和昆明历史文化领域的专家，与群众面对面交流，提供专业的咨询服务。二是持续推进社科普及活动的常态化与长效化。通过加强与科普基地、学校、社区文化活动室等众多一线活动阵地的联系，动员各类专家、学者投入到社科普及中，并根据不同群体的特点和需求，共开展有针对性的社科普及活动15场次。其中，云南师范大学法学与社会学学院的合作联合专业法律团队及青年志愿者，推出了“聚力高校资源 助力美好家园”项目。在此项目引领下，10场“法入民心”普法宣传活动与“云岭星光”志愿服务活动如火如荼地展开。志愿团队深入社区，聚焦妇女权益、邻里关系等法律热点，采用有奖竞答等生动形式，普及法律知识。另外，我们还组织了5场“法入民心”社区普法讲座，赢得了广泛赞誉。三是编辑出版科普读物，两基地荣获省级社科普及示范称号。编辑印制了社科普及读物《葫芦丝—传统与现代文化的结合》，为人民群众提供了一本方便实用以及了解葫芦丝发展史的科普书籍。加强市级社科普及示范基地建设，组织开展云南省社会科学普及示范基地申报工作，经省社科联评选，“昆明国家广告产业园”及“欧普康视眼健康科普基地”被评为云南省社会科学普及示范基地。四是积极推进“一州市一品牌”社科普及项目。成功申报“一州市一品牌”昆明社科融媒体精品宣传节目社科普及项目“滇池流域生态文化与生态文明宣传普及”项目，争取省级项目资金支持，打造具有昆明特色、地方特点的社科普及工作品牌。目前已完成2期以滇池流域的生态文化与生态文明为主题的科普宣传短片，旨在通过新媒体，把社科普及送到群众“掌心里”、让传统的普及从“指尖”走向群众“心尖”，切实打通社科宣传工作服务群众“最后一公里”，为提升公众的生态文明素养、推动滇池流域的可持续发展迈出了坚实步伐。五是演绎社科新韵，荣誉实证能力。历经两个半月激烈角逐，第三届省区市社科普及基地解说员大赛在昆明圆满落幕。此次大赛由全国各省区市社科联携手主办，云南省社科联承办，并得到市委宣传部、市社科联及市融媒体中心的大力支持。来自全国各地93名讲解员齐聚一堂，以生动叙述展现中华文化的创新传承。在云南选拔赛中，昆明市社科联荣获优秀组织奖，选手表现优异，分别斩获二等奖与优秀奖，充分展现了团队的非凡实力与专业风采。六是创新科普工作方式。及时更新社科联官方网站“科普工作”板块信息，增加科普知识宣传内容29条。七是利用好“昆明市社会科学普及工作联席会议制度”搭建的平台，逐步形成全市社科研究部门和团体的协作机制，发挥龙头优势和整体优势，注重整合社科界的力量，优化资源配置，逐步建立起一支适应跨学科研究需要、善于多部门多学科协同作战的应用对策研究队伍。</w:t>
            </w:r>
          </w:p>
          <w:p>
            <w:pPr>
              <w:overflowPunct/>
              <w:autoSpaceDE/>
              <w:autoSpaceDN/>
              <w:adjustRightInd/>
              <w:jc w:val="left"/>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910" w:hRule="atLeast"/>
        </w:trPr>
        <w:tc>
          <w:tcPr>
            <w:tcW w:w="66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jc w:val="left"/>
              <w:rPr>
                <w:rFonts w:hint="default" w:ascii="Times New Roman" w:hAnsi="Times New Roman" w:eastAsia="等线" w:cs="Times New Roman"/>
                <w:color w:val="000000"/>
                <w:sz w:val="18"/>
                <w:szCs w:val="18"/>
              </w:rPr>
            </w:pPr>
          </w:p>
        </w:tc>
        <w:tc>
          <w:tcPr>
            <w:tcW w:w="103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jc w:val="left"/>
              <w:rPr>
                <w:rFonts w:hint="default" w:ascii="Times New Roman" w:hAnsi="Times New Roman" w:cs="Times New Roman"/>
                <w:color w:val="000000"/>
                <w:sz w:val="18"/>
                <w:szCs w:val="18"/>
              </w:rPr>
            </w:pPr>
          </w:p>
        </w:tc>
        <w:tc>
          <w:tcPr>
            <w:tcW w:w="993" w:type="dxa"/>
            <w:tcBorders>
              <w:top w:val="nil"/>
              <w:left w:val="nil"/>
              <w:bottom w:val="single" w:color="auto" w:sz="4" w:space="0"/>
              <w:right w:val="single" w:color="auto" w:sz="4" w:space="0"/>
            </w:tcBorders>
            <w:shd w:val="clear" w:color="auto" w:fill="auto"/>
            <w:vAlign w:val="center"/>
          </w:tcPr>
          <w:p>
            <w:pPr>
              <w:overflowPunct/>
              <w:autoSpaceDE/>
              <w:autoSpaceDN/>
              <w:adjustRightInd/>
              <w:jc w:val="left"/>
              <w:rPr>
                <w:rFonts w:hint="default" w:ascii="Times New Roman" w:hAnsi="Times New Roman" w:cs="Times New Roman"/>
                <w:color w:val="000000"/>
                <w:sz w:val="18"/>
                <w:szCs w:val="18"/>
              </w:rPr>
            </w:pPr>
            <w:r>
              <w:rPr>
                <w:rFonts w:hint="default" w:ascii="Times New Roman" w:hAnsi="Times New Roman" w:cs="Times New Roman" w:eastAsiaTheme="minorEastAsia"/>
                <w:b w:val="0"/>
                <w:bCs w:val="0"/>
                <w:color w:val="000000"/>
                <w:kern w:val="2"/>
                <w:sz w:val="18"/>
                <w:szCs w:val="18"/>
                <w:lang w:val="en-US" w:eastAsia="zh-CN" w:bidi="ar"/>
              </w:rPr>
              <w:t>优化协调管理，协调服务资源，引导服务学会发展</w:t>
            </w:r>
          </w:p>
        </w:tc>
        <w:tc>
          <w:tcPr>
            <w:tcW w:w="6095" w:type="dxa"/>
            <w:tcBorders>
              <w:top w:val="nil"/>
              <w:left w:val="nil"/>
              <w:bottom w:val="single" w:color="auto" w:sz="4" w:space="0"/>
              <w:right w:val="single" w:color="auto" w:sz="4" w:space="0"/>
            </w:tcBorders>
            <w:shd w:val="clear" w:color="auto" w:fill="auto"/>
            <w:vAlign w:val="center"/>
          </w:tcPr>
          <w:p>
            <w:pPr>
              <w:pStyle w:val="81"/>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392" w:firstLineChars="200"/>
              <w:jc w:val="both"/>
              <w:textAlignment w:val="auto"/>
              <w:rPr>
                <w:rFonts w:hint="default" w:ascii="Times New Roman" w:hAnsi="Times New Roman" w:cs="Times New Roman" w:eastAsiaTheme="minorEastAsia"/>
                <w:color w:val="auto"/>
                <w:spacing w:val="8"/>
                <w:kern w:val="2"/>
                <w:sz w:val="18"/>
                <w:szCs w:val="18"/>
                <w:u w:val="none"/>
                <w:shd w:val="clear" w:color="auto" w:fill="FFFFFF"/>
                <w:lang w:val="en-US" w:eastAsia="zh-CN" w:bidi="ar-SA"/>
              </w:rPr>
            </w:pPr>
            <w:r>
              <w:rPr>
                <w:rFonts w:hint="default" w:ascii="Times New Roman" w:hAnsi="Times New Roman" w:cs="Times New Roman" w:eastAsiaTheme="minorEastAsia"/>
                <w:color w:val="auto"/>
                <w:spacing w:val="8"/>
                <w:kern w:val="2"/>
                <w:sz w:val="18"/>
                <w:szCs w:val="18"/>
                <w:u w:val="none"/>
                <w:shd w:val="clear" w:color="auto" w:fill="FFFFFF"/>
                <w:lang w:val="en-US" w:eastAsia="zh-CN" w:bidi="ar-SA"/>
              </w:rPr>
              <w:t>一是积极推进学会规范化建设，强化制度管理。坚持和落实学会年检管理制度、学会活动报备制度、学会联系制度；加强对学会、研究会、协会开展学术活动的指导和服务，确保正确的政治方向、舆论导向和价值取向。同时督促市级社科社会组织按规定和程序开展换届工作，推动市级社科社会组织规范管理，提升市级社科社会组织的生命力和凝聚力。完成28家社科社会组织线下年检，预审昆明民族文化促进会、昆明郑和研究会、昆明中共党史学会和昆明旗袍协会等学会换届材料,受理昆明东方文化艺术交流协会延期换届申请，批复同意昆明实用心理学及智业发展研究会和昆明城市法治研究会注销申请。二是搭建交流平台。聚焦服务昆明强省会战略，2024年先后举办“昆明市社科界学习贯彻党的二十届三中全会精神研讨会”“纪念云南陆军讲武堂援助黄埔军校建校座谈会”等系列学术活动12场，为昆明高质量发展凝心聚力、建言献策。三是围绕加强学会规范化管理开展完成秘书长培训以及配合民政推进完成年度社科社会组织年检和社会组织财务状况随机抽查检查工作，并做好社会组织日常服务工作。</w:t>
            </w:r>
          </w:p>
          <w:p>
            <w:pPr>
              <w:overflowPunct/>
              <w:autoSpaceDE/>
              <w:autoSpaceDN/>
              <w:adjustRightInd/>
              <w:jc w:val="left"/>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1225" w:hRule="atLeast"/>
        </w:trPr>
        <w:tc>
          <w:tcPr>
            <w:tcW w:w="663" w:type="dxa"/>
            <w:vMerge w:val="restart"/>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2</w:t>
            </w:r>
          </w:p>
        </w:tc>
        <w:tc>
          <w:tcPr>
            <w:tcW w:w="1033" w:type="dxa"/>
            <w:vMerge w:val="restart"/>
            <w:tcBorders>
              <w:top w:val="nil"/>
              <w:left w:val="single" w:color="auto" w:sz="4" w:space="0"/>
              <w:bottom w:val="single" w:color="auto" w:sz="4" w:space="0"/>
              <w:right w:val="single" w:color="auto" w:sz="4" w:space="0"/>
            </w:tcBorders>
            <w:shd w:val="clear" w:color="auto" w:fill="auto"/>
            <w:vAlign w:val="center"/>
          </w:tcPr>
          <w:p>
            <w:pPr>
              <w:overflowPunct/>
              <w:autoSpaceDE/>
              <w:autoSpaceDN/>
              <w:adjustRightInd/>
              <w:jc w:val="center"/>
              <w:rPr>
                <w:rFonts w:hint="default" w:ascii="Times New Roman" w:hAnsi="Times New Roman" w:cs="Times New Roman"/>
                <w:color w:val="000000"/>
                <w:sz w:val="18"/>
                <w:szCs w:val="18"/>
              </w:rPr>
            </w:pPr>
            <w:r>
              <w:rPr>
                <w:rFonts w:hint="default" w:ascii="Times New Roman" w:hAnsi="Times New Roman" w:cs="Times New Roman" w:eastAsiaTheme="minorEastAsia"/>
                <w:kern w:val="0"/>
                <w:sz w:val="18"/>
                <w:szCs w:val="18"/>
                <w:lang w:val="en" w:eastAsia="zh-CN" w:bidi="ar"/>
              </w:rPr>
              <w:t>突出党建引领发展，不断推动社科工作高质量发展</w:t>
            </w:r>
          </w:p>
        </w:tc>
        <w:tc>
          <w:tcPr>
            <w:tcW w:w="993" w:type="dxa"/>
            <w:tcBorders>
              <w:top w:val="nil"/>
              <w:left w:val="nil"/>
              <w:bottom w:val="single" w:color="auto" w:sz="4" w:space="0"/>
              <w:right w:val="single" w:color="auto" w:sz="4" w:space="0"/>
            </w:tcBorders>
            <w:shd w:val="clear" w:color="auto" w:fill="auto"/>
            <w:vAlign w:val="center"/>
          </w:tcPr>
          <w:p>
            <w:pPr>
              <w:overflowPunct/>
              <w:autoSpaceDE/>
              <w:autoSpaceDN/>
              <w:adjustRightInd/>
              <w:jc w:val="left"/>
              <w:rPr>
                <w:rFonts w:hint="default" w:ascii="Times New Roman" w:hAnsi="Times New Roman" w:cs="Times New Roman"/>
                <w:color w:val="000000"/>
                <w:sz w:val="18"/>
                <w:szCs w:val="18"/>
              </w:rPr>
            </w:pPr>
            <w:r>
              <w:rPr>
                <w:rFonts w:hint="default" w:ascii="Times New Roman" w:hAnsi="Times New Roman" w:cs="Times New Roman" w:eastAsiaTheme="minorEastAsia"/>
                <w:color w:val="auto"/>
                <w:spacing w:val="8"/>
                <w:kern w:val="2"/>
                <w:sz w:val="18"/>
                <w:szCs w:val="18"/>
                <w:u w:val="none"/>
                <w:shd w:val="clear" w:color="auto" w:fill="FFFFFF"/>
                <w:lang w:val="en-US" w:eastAsia="zh-CN" w:bidi="ar-SA"/>
              </w:rPr>
              <w:t>着力加强党的政治建设</w:t>
            </w:r>
          </w:p>
        </w:tc>
        <w:tc>
          <w:tcPr>
            <w:tcW w:w="60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right="0" w:firstLine="392" w:firstLineChars="200"/>
              <w:jc w:val="both"/>
              <w:rPr>
                <w:rFonts w:hint="default" w:ascii="Times New Roman" w:hAnsi="Times New Roman" w:cs="Times New Roman" w:eastAsiaTheme="minorEastAsia"/>
                <w:color w:val="auto"/>
                <w:spacing w:val="8"/>
                <w:kern w:val="2"/>
                <w:sz w:val="18"/>
                <w:szCs w:val="18"/>
                <w:u w:val="none"/>
                <w:shd w:val="clear" w:color="auto" w:fill="FFFFFF"/>
                <w:lang w:val="en" w:eastAsia="zh-CN" w:bidi="ar-SA"/>
              </w:rPr>
            </w:pPr>
            <w:r>
              <w:rPr>
                <w:rFonts w:hint="default" w:ascii="Times New Roman" w:hAnsi="Times New Roman" w:cs="Times New Roman" w:eastAsiaTheme="minorEastAsia"/>
                <w:color w:val="auto"/>
                <w:spacing w:val="8"/>
                <w:kern w:val="2"/>
                <w:sz w:val="18"/>
                <w:szCs w:val="18"/>
                <w:u w:val="none"/>
                <w:shd w:val="clear" w:color="auto" w:fill="FFFFFF"/>
                <w:lang w:val="en-US" w:eastAsia="zh-CN" w:bidi="ar-SA"/>
              </w:rPr>
              <w:t>一是</w:t>
            </w:r>
            <w:r>
              <w:rPr>
                <w:rFonts w:hint="default" w:ascii="Times New Roman" w:hAnsi="Times New Roman" w:cs="Times New Roman" w:eastAsiaTheme="minorEastAsia"/>
                <w:color w:val="auto"/>
                <w:spacing w:val="8"/>
                <w:kern w:val="2"/>
                <w:sz w:val="18"/>
                <w:szCs w:val="18"/>
                <w:u w:val="none"/>
                <w:shd w:val="clear" w:color="auto" w:fill="FFFFFF"/>
                <w:lang w:val="en" w:eastAsia="zh-CN" w:bidi="ar-SA"/>
              </w:rPr>
              <w:t>始终坚持和加强党的全面领导。年初，对全年党建、党风廉政建设工作进行安排部署，深入研究制定《昆明市社会科学界联合会2024年党建工作要点》、《中共昆明市社会科学界联合会党组2024年党风廉政建设和反腐败工作任务分解方案》，围绕市社科联职能职责，制定了《市社科联2024年度党风廉政建设风险防控工作方案》，组织全体干部职工签订了《2024年昆明市社会科学界联合会党风廉政建设风险防控承诺书》，做到廉政风险防控全覆盖。共召开党组会议专题研究党建、党风廉政建设及意识形态工作2次，主要负责同志听取分管领导履行“一岗双责”情况报告4次；班子其他成员认真履行“一岗双责”，听取分管部室汇报工作情况8次，共同研究、安排部署党风廉政建设工作8次；对分管部室党员干部进行教育管理监督，对苗头性问题及时提醒纠正，开展谈心谈话24次。二是抓实抓牢思想政治建设。把学深悟透习近平新时代中国特色社会主义思想内化为日积月累、常学常新的过程，组织党员、干部认真学习贯彻党的二十大及二十届二中、三中全会精神、习近平新时代中国特色社会主义思想以及习近平总书记考察云南重要讲话精神，深入学习习近平文化思想 ，跟进学习习近平总书记重要讲话和重要指示批示精神，用党的创新理论武装头脑、指导实践、推动工作。共开展理论中心组集体学习7次，党组会议“第一议题”学习23次，主题党日集中教育学习11次，撰写心得体会2次。三是</w:t>
            </w:r>
            <w:r>
              <w:rPr>
                <w:rFonts w:hint="default" w:ascii="Times New Roman" w:hAnsi="Times New Roman" w:cs="Times New Roman" w:eastAsiaTheme="minorEastAsia"/>
                <w:color w:val="auto"/>
                <w:spacing w:val="8"/>
                <w:kern w:val="2"/>
                <w:sz w:val="18"/>
                <w:szCs w:val="18"/>
                <w:u w:val="none"/>
                <w:shd w:val="clear" w:color="auto" w:fill="FFFFFF"/>
                <w:lang w:val="en-US" w:eastAsia="zh-CN" w:bidi="ar-SA"/>
              </w:rPr>
              <w:t>持续抓实党支部规范化建设，全力打造党建品牌，严格落实机关党建工作各项制度，严格党员教育管理，提升党组织政治功能，不断提升基层党组织的凝聚力和战斗力。2024年开展三会一课33次，主题党日11次。为规范支部换届选举工作做好准备，严格按程序做好机关总支部委员会设立相关工作。</w:t>
            </w:r>
            <w:r>
              <w:rPr>
                <w:rFonts w:hint="default" w:ascii="Times New Roman" w:hAnsi="Times New Roman" w:cs="Times New Roman" w:eastAsiaTheme="minorEastAsia"/>
                <w:color w:val="auto"/>
                <w:spacing w:val="8"/>
                <w:kern w:val="2"/>
                <w:sz w:val="18"/>
                <w:szCs w:val="18"/>
                <w:u w:val="none"/>
                <w:shd w:val="clear" w:color="auto" w:fill="FFFFFF"/>
                <w:lang w:val="en" w:eastAsia="zh-CN" w:bidi="ar-SA"/>
              </w:rPr>
              <w:t>四是抓严抓细全面从严治党责任。坚决贯彻执行民主集中制、“三重一大”集体决策及班子议事规则等制度，坚持充分酝酿，集体讨论，科学决策、民主决策、依法决策，坚持法治思维和法治方式，提升党组决策议事规范化水平。推动干部能力提升。制定《中共昆明市社科联党组关于开展干部队伍“能力作风提升年”活动的实施方案》，并认真开展各项工作，推动干部切实提升能力，锻造作风，实干立身，争先出彩。严格落实“三会一课”、主题党日、民主评议等基本制度，组织党员干部积极参加市级部门组织的教育培训，开展领导干部、党组织书记讲党课，落实领导干部过“双重组织生活”。共召开民主生活会1次，组织生活会1次，开展民主评议党员1次，领导干部讲党课9次，支委会11次，党员大会4次，主题党日活动11次。五是健全完善监督防控体系。制定《中共昆明市社科联党组关于加强干部职工“八小时以外”活动监督管理的实施办法》，引导干部职工自觉规范“八小时以外”所从事的与职务影响相关或个人生活领域的行为活动，积极培育高尚的精神追求和健康的生活情趣，自觉增强拒腐防变能力，树立忠诚干净担当的良好形象。开展“家庭家风家教”党风廉政教育活动，通过集中观看一次警示教育片——《亲情绑架下的权力腐败》，组织一场《习近平关于注重家庭家教家风建设论述摘编》专题学习，主要领导讲授一堂廉政党课——新时代家庭家教家风建设的根本遵循，参观一次警示教育基地——参观昆明市警示教育基地，发放一封廉洁家书《廉养家 家促廉——致昆明市社科联全体党员干部家属的一封廉洁家书》，干部和家属共同签订《廉洁家庭承诺书》等活动，引导党员干部和家属自觉抵制不良风气的诱惑和侵蚀，共同筑牢拒腐防变家庭防火墙。六是积极接受市委政治巡查。2024年3月13日至4月26日，市委第四巡察组对市社科联进行了为期一个半月的政治巡察，市社科联自觉接受巡察监督，支持巡察工作、服从巡察安排，确保了巡察任务顺利完成。6月6日，市委第四巡察组反馈了4大类16方面49个问题后，市社科联党组严肃对待反馈意见，及时研究制定整改方案，层层压实整改责任，认真落实整改任务，不断巩固和扩大整改成果。</w:t>
            </w:r>
          </w:p>
          <w:p>
            <w:pPr>
              <w:overflowPunct/>
              <w:autoSpaceDE/>
              <w:autoSpaceDN/>
              <w:adjustRightInd/>
              <w:jc w:val="left"/>
              <w:rPr>
                <w:rFonts w:hint="default" w:ascii="Times New Roman" w:hAnsi="Times New Roman" w:eastAsia="等线" w:cs="Times New Roman"/>
                <w:color w:val="000000"/>
                <w:sz w:val="18"/>
                <w:szCs w:val="18"/>
              </w:rPr>
            </w:pPr>
          </w:p>
        </w:tc>
      </w:tr>
      <w:tr>
        <w:tblPrEx>
          <w:tblCellMar>
            <w:top w:w="0" w:type="dxa"/>
            <w:left w:w="108" w:type="dxa"/>
            <w:bottom w:w="0" w:type="dxa"/>
            <w:right w:w="108" w:type="dxa"/>
          </w:tblCellMar>
        </w:tblPrEx>
        <w:trPr>
          <w:trHeight w:val="888" w:hRule="atLeast"/>
        </w:trPr>
        <w:tc>
          <w:tcPr>
            <w:tcW w:w="66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jc w:val="left"/>
              <w:rPr>
                <w:rFonts w:hint="default" w:ascii="Times New Roman" w:hAnsi="Times New Roman" w:eastAsia="等线" w:cs="Times New Roman"/>
                <w:color w:val="000000"/>
                <w:sz w:val="18"/>
                <w:szCs w:val="18"/>
              </w:rPr>
            </w:pPr>
          </w:p>
        </w:tc>
        <w:tc>
          <w:tcPr>
            <w:tcW w:w="103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jc w:val="left"/>
              <w:rPr>
                <w:rFonts w:hint="default" w:ascii="Times New Roman" w:hAnsi="Times New Roman" w:cs="Times New Roman"/>
                <w:color w:val="000000"/>
                <w:sz w:val="18"/>
                <w:szCs w:val="18"/>
              </w:rPr>
            </w:pPr>
          </w:p>
        </w:tc>
        <w:tc>
          <w:tcPr>
            <w:tcW w:w="993" w:type="dxa"/>
            <w:tcBorders>
              <w:top w:val="nil"/>
              <w:left w:val="nil"/>
              <w:bottom w:val="single" w:color="auto" w:sz="4" w:space="0"/>
              <w:right w:val="single" w:color="auto" w:sz="4" w:space="0"/>
            </w:tcBorders>
            <w:shd w:val="clear" w:color="auto" w:fill="auto"/>
            <w:vAlign w:val="center"/>
          </w:tcPr>
          <w:p>
            <w:pPr>
              <w:overflowPunct/>
              <w:autoSpaceDE/>
              <w:autoSpaceDN/>
              <w:adjustRightInd/>
              <w:jc w:val="left"/>
              <w:rPr>
                <w:rFonts w:hint="default" w:ascii="Times New Roman" w:hAnsi="Times New Roman" w:cs="Times New Roman"/>
                <w:color w:val="000000"/>
                <w:sz w:val="18"/>
                <w:szCs w:val="18"/>
              </w:rPr>
            </w:pPr>
            <w:r>
              <w:rPr>
                <w:rFonts w:hint="default" w:ascii="Times New Roman" w:hAnsi="Times New Roman" w:cs="Times New Roman" w:eastAsiaTheme="minorEastAsia"/>
                <w:color w:val="auto"/>
                <w:spacing w:val="8"/>
                <w:kern w:val="2"/>
                <w:sz w:val="18"/>
                <w:szCs w:val="18"/>
                <w:u w:val="none"/>
                <w:shd w:val="clear" w:color="auto" w:fill="FFFFFF"/>
                <w:lang w:val="en" w:eastAsia="zh-CN" w:bidi="ar-SA"/>
              </w:rPr>
              <w:t>认真开展党纪学习教育</w:t>
            </w:r>
          </w:p>
        </w:tc>
        <w:tc>
          <w:tcPr>
            <w:tcW w:w="6095" w:type="dxa"/>
            <w:tcBorders>
              <w:top w:val="nil"/>
              <w:left w:val="nil"/>
              <w:bottom w:val="single" w:color="auto" w:sz="4" w:space="0"/>
              <w:right w:val="single" w:color="auto" w:sz="4" w:space="0"/>
            </w:tcBorders>
            <w:shd w:val="clear" w:color="auto" w:fill="auto"/>
            <w:vAlign w:val="center"/>
          </w:tcPr>
          <w:p>
            <w:pPr>
              <w:pStyle w:val="88"/>
              <w:keepNext w:val="0"/>
              <w:keepLines w:val="0"/>
              <w:pageBreakBefore w:val="0"/>
              <w:kinsoku/>
              <w:wordWrap/>
              <w:overflowPunct/>
              <w:topLinePunct w:val="0"/>
              <w:bidi w:val="0"/>
              <w:spacing w:after="0" w:afterLines="0" w:line="560" w:lineRule="exact"/>
              <w:ind w:left="0" w:leftChars="0" w:firstLine="392" w:firstLineChars="200"/>
              <w:textAlignment w:val="auto"/>
              <w:rPr>
                <w:rFonts w:hint="default" w:ascii="Times New Roman" w:hAnsi="Times New Roman" w:cs="Times New Roman" w:eastAsiaTheme="minorEastAsia"/>
                <w:color w:val="auto"/>
                <w:spacing w:val="8"/>
                <w:kern w:val="2"/>
                <w:sz w:val="18"/>
                <w:szCs w:val="18"/>
                <w:u w:val="none"/>
                <w:shd w:val="clear" w:color="auto" w:fill="FFFFFF"/>
                <w:lang w:val="en" w:eastAsia="zh-CN" w:bidi="ar-SA"/>
              </w:rPr>
            </w:pPr>
            <w:r>
              <w:rPr>
                <w:rFonts w:hint="default" w:ascii="Times New Roman" w:hAnsi="Times New Roman" w:cs="Times New Roman" w:eastAsiaTheme="minorEastAsia"/>
                <w:color w:val="auto"/>
                <w:spacing w:val="8"/>
                <w:kern w:val="2"/>
                <w:sz w:val="18"/>
                <w:szCs w:val="18"/>
                <w:u w:val="none"/>
                <w:shd w:val="clear" w:color="auto" w:fill="FFFFFF"/>
                <w:lang w:val="en" w:eastAsia="zh-CN" w:bidi="ar-SA"/>
              </w:rPr>
              <w:t>成立市社科联党组党纪学习教育领导小组，研究制定《关于在昆明市社会科学界联合会党员中开展党纪学习教育的工作方案》和机关党支部学习计划，组织县处级领导干部3人、党员干部20人学习《中国共产党纪律处分条例（2023年新修订版）》，</w:t>
            </w:r>
            <w:r>
              <w:rPr>
                <w:rFonts w:hint="default" w:ascii="Times New Roman" w:hAnsi="Times New Roman" w:cs="Times New Roman" w:eastAsiaTheme="minorEastAsia"/>
                <w:color w:val="auto"/>
                <w:spacing w:val="8"/>
                <w:kern w:val="2"/>
                <w:sz w:val="18"/>
                <w:szCs w:val="18"/>
                <w:u w:val="none"/>
                <w:shd w:val="clear" w:color="auto" w:fill="FFFFFF"/>
                <w:lang w:val="en-US" w:eastAsia="zh-CN" w:bidi="ar-SA"/>
              </w:rPr>
              <w:t>用党规党纪校正思想和行动，不断增强党员干部的政治定力、纪律定力、道德定力、抵腐定力。其中，党组会组织学习《中国共产党纪律处分条例》8次，理论学习中心组学习2次，组织读书班学习1次，机关党支部组织学习5次。邀请市纪委驻文旅局纪检组长专题授课1次，党组书记讲授党纪学习教育专题党课1次，</w:t>
            </w:r>
            <w:r>
              <w:rPr>
                <w:rFonts w:hint="default" w:ascii="Times New Roman" w:hAnsi="Times New Roman" w:cs="Times New Roman" w:eastAsiaTheme="minorEastAsia"/>
                <w:color w:val="auto"/>
                <w:spacing w:val="8"/>
                <w:kern w:val="2"/>
                <w:sz w:val="18"/>
                <w:szCs w:val="18"/>
                <w:u w:val="none"/>
                <w:shd w:val="clear" w:color="auto" w:fill="FFFFFF"/>
                <w:lang w:val="en" w:eastAsia="zh-CN" w:bidi="ar-SA"/>
              </w:rPr>
              <w:t>精心组织、扎实推动市社科联党纪学习教育走深走实。</w:t>
            </w:r>
          </w:p>
          <w:p>
            <w:pPr>
              <w:overflowPunct/>
              <w:autoSpaceDE/>
              <w:autoSpaceDN/>
              <w:adjustRightInd/>
              <w:jc w:val="left"/>
              <w:rPr>
                <w:rFonts w:hint="default" w:ascii="Times New Roman" w:hAnsi="Times New Roman" w:eastAsia="等线" w:cs="Times New Roman"/>
                <w:b/>
                <w:bCs/>
                <w:color w:val="000000"/>
                <w:sz w:val="18"/>
                <w:szCs w:val="18"/>
              </w:rPr>
            </w:pPr>
          </w:p>
        </w:tc>
      </w:tr>
      <w:tr>
        <w:tblPrEx>
          <w:tblCellMar>
            <w:top w:w="0" w:type="dxa"/>
            <w:left w:w="108" w:type="dxa"/>
            <w:bottom w:w="0" w:type="dxa"/>
            <w:right w:w="108" w:type="dxa"/>
          </w:tblCellMar>
        </w:tblPrEx>
        <w:trPr>
          <w:trHeight w:val="629" w:hRule="atLeast"/>
        </w:trPr>
        <w:tc>
          <w:tcPr>
            <w:tcW w:w="66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jc w:val="left"/>
              <w:rPr>
                <w:rFonts w:hint="default" w:ascii="Times New Roman" w:hAnsi="Times New Roman" w:eastAsia="等线" w:cs="Times New Roman"/>
                <w:color w:val="000000"/>
                <w:sz w:val="18"/>
                <w:szCs w:val="18"/>
              </w:rPr>
            </w:pPr>
          </w:p>
        </w:tc>
        <w:tc>
          <w:tcPr>
            <w:tcW w:w="103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jc w:val="left"/>
              <w:rPr>
                <w:rFonts w:hint="default" w:ascii="Times New Roman" w:hAnsi="Times New Roman" w:cs="Times New Roman"/>
                <w:color w:val="000000"/>
                <w:sz w:val="18"/>
                <w:szCs w:val="18"/>
              </w:rPr>
            </w:pPr>
          </w:p>
        </w:tc>
        <w:tc>
          <w:tcPr>
            <w:tcW w:w="993" w:type="dxa"/>
            <w:tcBorders>
              <w:top w:val="nil"/>
              <w:left w:val="nil"/>
              <w:bottom w:val="single" w:color="auto" w:sz="4" w:space="0"/>
              <w:right w:val="single" w:color="auto" w:sz="4" w:space="0"/>
            </w:tcBorders>
            <w:shd w:val="clear" w:color="auto" w:fill="auto"/>
            <w:vAlign w:val="center"/>
          </w:tcPr>
          <w:p>
            <w:pPr>
              <w:overflowPunct/>
              <w:autoSpaceDE/>
              <w:autoSpaceDN/>
              <w:adjustRightInd/>
              <w:jc w:val="left"/>
              <w:rPr>
                <w:rFonts w:hint="default" w:ascii="Times New Roman" w:hAnsi="Times New Roman" w:cs="Times New Roman"/>
                <w:color w:val="000000"/>
                <w:sz w:val="18"/>
                <w:szCs w:val="18"/>
              </w:rPr>
            </w:pPr>
            <w:r>
              <w:rPr>
                <w:rFonts w:hint="default" w:ascii="Times New Roman" w:hAnsi="Times New Roman" w:cs="Times New Roman" w:eastAsiaTheme="minorEastAsia"/>
                <w:color w:val="auto"/>
                <w:spacing w:val="8"/>
                <w:kern w:val="2"/>
                <w:sz w:val="18"/>
                <w:szCs w:val="18"/>
                <w:u w:val="none"/>
                <w:shd w:val="clear" w:color="auto" w:fill="FFFFFF"/>
                <w:lang w:val="en" w:eastAsia="zh-CN" w:bidi="ar-SA"/>
              </w:rPr>
              <w:t>建强守住管好社科理论阵地</w:t>
            </w:r>
          </w:p>
        </w:tc>
        <w:tc>
          <w:tcPr>
            <w:tcW w:w="6095" w:type="dxa"/>
            <w:tcBorders>
              <w:top w:val="nil"/>
              <w:left w:val="nil"/>
              <w:bottom w:val="single" w:color="auto" w:sz="4" w:space="0"/>
              <w:right w:val="single" w:color="auto" w:sz="4" w:space="0"/>
            </w:tcBorders>
            <w:shd w:val="clear" w:color="auto" w:fill="auto"/>
            <w:vAlign w:val="center"/>
          </w:tcPr>
          <w:p>
            <w:pPr>
              <w:pStyle w:val="88"/>
              <w:keepNext w:val="0"/>
              <w:keepLines w:val="0"/>
              <w:pageBreakBefore w:val="0"/>
              <w:kinsoku/>
              <w:wordWrap/>
              <w:overflowPunct/>
              <w:topLinePunct w:val="0"/>
              <w:bidi w:val="0"/>
              <w:spacing w:after="0" w:afterLines="0" w:line="560" w:lineRule="exact"/>
              <w:ind w:left="0" w:leftChars="0" w:firstLine="360" w:firstLineChars="200"/>
              <w:textAlignment w:val="auto"/>
              <w:rPr>
                <w:rFonts w:hint="default" w:ascii="Times New Roman" w:hAnsi="Times New Roman" w:cs="Times New Roman" w:eastAsiaTheme="minorEastAsia"/>
                <w:color w:val="auto"/>
                <w:spacing w:val="8"/>
                <w:kern w:val="2"/>
                <w:sz w:val="18"/>
                <w:szCs w:val="18"/>
                <w:u w:val="none"/>
                <w:shd w:val="clear" w:color="auto" w:fill="FFFFFF"/>
                <w:lang w:val="en" w:eastAsia="zh-CN" w:bidi="ar-SA"/>
              </w:rPr>
            </w:pPr>
            <w:r>
              <w:rPr>
                <w:rFonts w:hint="default" w:ascii="Times New Roman" w:hAnsi="Times New Roman" w:cs="Times New Roman" w:eastAsiaTheme="minorEastAsia"/>
                <w:b w:val="0"/>
                <w:bCs w:val="0"/>
                <w:color w:val="000000"/>
                <w:kern w:val="0"/>
                <w:sz w:val="18"/>
                <w:szCs w:val="18"/>
              </w:rPr>
              <w:t xml:space="preserve"> </w:t>
            </w:r>
            <w:r>
              <w:rPr>
                <w:rFonts w:hint="default" w:ascii="Times New Roman" w:hAnsi="Times New Roman" w:cs="Times New Roman" w:eastAsiaTheme="minorEastAsia"/>
                <w:color w:val="auto"/>
                <w:spacing w:val="8"/>
                <w:kern w:val="2"/>
                <w:sz w:val="18"/>
                <w:szCs w:val="18"/>
                <w:u w:val="none"/>
                <w:shd w:val="clear" w:color="auto" w:fill="FFFFFF"/>
                <w:lang w:val="en" w:eastAsia="zh-CN" w:bidi="ar-SA"/>
              </w:rPr>
              <w:t>严格落实意识形态工作责任制，一年来组织意识形态工作领导小组会议4次、2024年开展意识形态专题研判会议</w:t>
            </w:r>
            <w:r>
              <w:rPr>
                <w:rFonts w:hint="default" w:ascii="Times New Roman" w:hAnsi="Times New Roman" w:cs="Times New Roman" w:eastAsiaTheme="minorEastAsia"/>
                <w:color w:val="auto"/>
                <w:spacing w:val="8"/>
                <w:kern w:val="2"/>
                <w:sz w:val="18"/>
                <w:szCs w:val="18"/>
                <w:u w:val="none"/>
                <w:shd w:val="clear" w:color="auto" w:fill="FFFFFF"/>
                <w:lang w:val="en-US" w:eastAsia="zh-CN" w:bidi="ar-SA"/>
              </w:rPr>
              <w:t>11</w:t>
            </w:r>
            <w:r>
              <w:rPr>
                <w:rFonts w:hint="default" w:ascii="Times New Roman" w:hAnsi="Times New Roman" w:cs="Times New Roman" w:eastAsiaTheme="minorEastAsia"/>
                <w:color w:val="auto"/>
                <w:spacing w:val="8"/>
                <w:kern w:val="2"/>
                <w:sz w:val="18"/>
                <w:szCs w:val="18"/>
                <w:u w:val="none"/>
                <w:shd w:val="clear" w:color="auto" w:fill="FFFFFF"/>
                <w:lang w:val="en" w:eastAsia="zh-CN" w:bidi="ar-SA"/>
              </w:rPr>
              <w:t>次。总结梳理三年来意识形态工作情况，狠抓市人文社科领域意识形态风险隐患防范化解工作指引制度执行；加强阵地建设管理，建强用好</w:t>
            </w:r>
            <w:r>
              <w:rPr>
                <w:rFonts w:hint="default" w:ascii="Times New Roman" w:hAnsi="Times New Roman" w:cs="Times New Roman" w:eastAsiaTheme="minorEastAsia"/>
                <w:color w:val="auto"/>
                <w:spacing w:val="8"/>
                <w:kern w:val="2"/>
                <w:sz w:val="18"/>
                <w:szCs w:val="18"/>
                <w:u w:val="none"/>
                <w:shd w:val="clear" w:color="auto" w:fill="FFFFFF"/>
                <w:lang w:val="en-US" w:eastAsia="zh-CN" w:bidi="ar-SA"/>
              </w:rPr>
              <w:t>28</w:t>
            </w:r>
            <w:r>
              <w:rPr>
                <w:rFonts w:hint="default" w:ascii="Times New Roman" w:hAnsi="Times New Roman" w:cs="Times New Roman" w:eastAsiaTheme="minorEastAsia"/>
                <w:color w:val="auto"/>
                <w:spacing w:val="8"/>
                <w:kern w:val="2"/>
                <w:sz w:val="18"/>
                <w:szCs w:val="18"/>
                <w:u w:val="none"/>
                <w:shd w:val="clear" w:color="auto" w:fill="FFFFFF"/>
                <w:lang w:val="en" w:eastAsia="zh-CN" w:bidi="ar-SA"/>
              </w:rPr>
              <w:t>家社科类学会、</w:t>
            </w:r>
            <w:r>
              <w:rPr>
                <w:rFonts w:hint="default" w:ascii="Times New Roman" w:hAnsi="Times New Roman" w:cs="Times New Roman" w:eastAsiaTheme="minorEastAsia"/>
                <w:color w:val="auto"/>
                <w:spacing w:val="8"/>
                <w:kern w:val="2"/>
                <w:sz w:val="18"/>
                <w:szCs w:val="18"/>
                <w:u w:val="none"/>
                <w:shd w:val="clear" w:color="auto" w:fill="FFFFFF"/>
                <w:lang w:val="en-US" w:eastAsia="zh-CN" w:bidi="ar-SA"/>
              </w:rPr>
              <w:t>13</w:t>
            </w:r>
            <w:r>
              <w:rPr>
                <w:rFonts w:hint="default" w:ascii="Times New Roman" w:hAnsi="Times New Roman" w:cs="Times New Roman" w:eastAsiaTheme="minorEastAsia"/>
                <w:color w:val="auto"/>
                <w:spacing w:val="8"/>
                <w:kern w:val="2"/>
                <w:sz w:val="18"/>
                <w:szCs w:val="18"/>
                <w:u w:val="none"/>
                <w:shd w:val="clear" w:color="auto" w:fill="FFFFFF"/>
                <w:lang w:val="en" w:eastAsia="zh-CN" w:bidi="ar-SA"/>
              </w:rPr>
              <w:t>家社科普及基地，抓好政治教育、思想引领和制度落实，确保可管可控、又发挥作用。压紧压实党员干部政治责任，坚持守土尽责、敢于斗争，把牢全年</w:t>
            </w:r>
            <w:r>
              <w:rPr>
                <w:rFonts w:hint="default" w:ascii="Times New Roman" w:hAnsi="Times New Roman" w:cs="Times New Roman" w:eastAsiaTheme="minorEastAsia"/>
                <w:color w:val="auto"/>
                <w:spacing w:val="8"/>
                <w:kern w:val="2"/>
                <w:sz w:val="18"/>
                <w:szCs w:val="18"/>
                <w:u w:val="none"/>
                <w:shd w:val="clear" w:color="auto" w:fill="FFFFFF"/>
                <w:lang w:val="en-US" w:eastAsia="zh-CN" w:bidi="ar-SA"/>
              </w:rPr>
              <w:t>20</w:t>
            </w:r>
            <w:r>
              <w:rPr>
                <w:rFonts w:hint="default" w:ascii="Times New Roman" w:hAnsi="Times New Roman" w:cs="Times New Roman" w:eastAsiaTheme="minorEastAsia"/>
                <w:color w:val="auto"/>
                <w:spacing w:val="8"/>
                <w:kern w:val="2"/>
                <w:sz w:val="18"/>
                <w:szCs w:val="18"/>
                <w:u w:val="none"/>
                <w:shd w:val="clear" w:color="auto" w:fill="FFFFFF"/>
                <w:lang w:val="en" w:eastAsia="zh-CN" w:bidi="ar-SA"/>
              </w:rPr>
              <w:t>余场社科活动项目策划、上报审批、专家邀请、活动组织和宣传报道关口。</w:t>
            </w:r>
            <w:r>
              <w:rPr>
                <w:rFonts w:hint="default" w:ascii="Times New Roman" w:hAnsi="Times New Roman" w:cs="Times New Roman" w:eastAsiaTheme="minorEastAsia"/>
                <w:color w:val="auto"/>
                <w:spacing w:val="8"/>
                <w:kern w:val="2"/>
                <w:sz w:val="18"/>
                <w:szCs w:val="18"/>
                <w:u w:val="none"/>
                <w:shd w:val="clear" w:color="auto" w:fill="FFFFFF"/>
                <w:lang w:val="en-US" w:eastAsia="zh-CN" w:bidi="ar-SA"/>
              </w:rPr>
              <w:t>依据相关政策法规，制定下发《昆明市社科联关于加强社科学术社团内部出版物意识形态管理的暂行办法》，进一步加强对市社科学会所办内刊（内部资料）的监管。</w:t>
            </w:r>
            <w:r>
              <w:rPr>
                <w:rFonts w:hint="default" w:ascii="Times New Roman" w:hAnsi="Times New Roman" w:cs="Times New Roman" w:eastAsiaTheme="minorEastAsia"/>
                <w:color w:val="auto"/>
                <w:spacing w:val="8"/>
                <w:kern w:val="2"/>
                <w:sz w:val="18"/>
                <w:szCs w:val="18"/>
                <w:u w:val="none"/>
                <w:shd w:val="clear" w:color="auto" w:fill="FFFFFF"/>
                <w:lang w:val="en" w:eastAsia="zh-CN" w:bidi="ar-SA"/>
              </w:rPr>
              <w:t>守牢守好意识形态阵地，坚守门户网站、微博、微信公众号、《昆明社会科学》等阵地，落实“三校三审”规定，加强有效监管。</w:t>
            </w:r>
            <w:r>
              <w:rPr>
                <w:rFonts w:hint="default" w:ascii="Times New Roman" w:hAnsi="Times New Roman" w:cs="Times New Roman" w:eastAsiaTheme="minorEastAsia"/>
                <w:color w:val="auto"/>
                <w:spacing w:val="8"/>
                <w:kern w:val="2"/>
                <w:sz w:val="18"/>
                <w:szCs w:val="18"/>
                <w:u w:val="none"/>
                <w:shd w:val="clear" w:color="auto" w:fill="FFFFFF"/>
                <w:lang w:val="en-US" w:eastAsia="zh-CN" w:bidi="ar-SA"/>
              </w:rPr>
              <w:t>落实《昆明市社会科学界联合会社科社会团体管理办法》，从登记管理、学术活动、自身建设、权利义务和组织管理等方面进行明确规定，</w:t>
            </w:r>
            <w:r>
              <w:rPr>
                <w:rFonts w:hint="default" w:ascii="Times New Roman" w:hAnsi="Times New Roman" w:cs="Times New Roman" w:eastAsiaTheme="minorEastAsia"/>
                <w:color w:val="auto"/>
                <w:spacing w:val="8"/>
                <w:kern w:val="2"/>
                <w:sz w:val="18"/>
                <w:szCs w:val="18"/>
                <w:u w:val="none"/>
                <w:shd w:val="clear" w:color="auto" w:fill="FFFFFF"/>
                <w:lang w:val="en" w:eastAsia="zh-CN" w:bidi="ar-SA"/>
              </w:rPr>
              <w:t>进一步规范社科社团管理，有效降低意识形态风险。加强网络安全防护，严格门户网站、微信公众号内容审核，织密织牢保密工作安全防线，不断提高依法治密能力，确保信息流转、公共邮箱安全使用。</w:t>
            </w:r>
          </w:p>
          <w:p>
            <w:pPr>
              <w:overflowPunct/>
              <w:autoSpaceDE/>
              <w:autoSpaceDN/>
              <w:adjustRightInd/>
              <w:jc w:val="left"/>
              <w:rPr>
                <w:rFonts w:hint="default" w:ascii="Times New Roman" w:hAnsi="Times New Roman" w:cs="Times New Roman"/>
                <w:color w:val="000000"/>
                <w:sz w:val="18"/>
                <w:szCs w:val="18"/>
              </w:rPr>
            </w:pPr>
          </w:p>
        </w:tc>
      </w:tr>
      <w:tr>
        <w:tblPrEx>
          <w:tblCellMar>
            <w:top w:w="0" w:type="dxa"/>
            <w:left w:w="108" w:type="dxa"/>
            <w:bottom w:w="0" w:type="dxa"/>
            <w:right w:w="108" w:type="dxa"/>
          </w:tblCellMar>
        </w:tblPrEx>
        <w:trPr>
          <w:trHeight w:val="854" w:hRule="atLeast"/>
        </w:trPr>
        <w:tc>
          <w:tcPr>
            <w:tcW w:w="66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jc w:val="left"/>
              <w:rPr>
                <w:rFonts w:hint="default" w:ascii="Times New Roman" w:hAnsi="Times New Roman" w:eastAsia="等线" w:cs="Times New Roman"/>
                <w:color w:val="000000"/>
                <w:sz w:val="18"/>
                <w:szCs w:val="18"/>
              </w:rPr>
            </w:pPr>
          </w:p>
        </w:tc>
        <w:tc>
          <w:tcPr>
            <w:tcW w:w="103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jc w:val="left"/>
              <w:rPr>
                <w:rFonts w:hint="default" w:ascii="Times New Roman" w:hAnsi="Times New Roman" w:cs="Times New Roman"/>
                <w:color w:val="000000"/>
                <w:sz w:val="18"/>
                <w:szCs w:val="18"/>
              </w:rPr>
            </w:pPr>
          </w:p>
        </w:tc>
        <w:tc>
          <w:tcPr>
            <w:tcW w:w="993" w:type="dxa"/>
            <w:tcBorders>
              <w:top w:val="nil"/>
              <w:left w:val="nil"/>
              <w:bottom w:val="single" w:color="auto" w:sz="4" w:space="0"/>
              <w:right w:val="single" w:color="auto" w:sz="4" w:space="0"/>
            </w:tcBorders>
            <w:shd w:val="clear" w:color="auto" w:fill="auto"/>
            <w:vAlign w:val="center"/>
          </w:tcPr>
          <w:p>
            <w:pPr>
              <w:overflowPunct/>
              <w:autoSpaceDE/>
              <w:autoSpaceDN/>
              <w:adjustRightInd/>
              <w:jc w:val="left"/>
              <w:rPr>
                <w:rFonts w:hint="default" w:ascii="Times New Roman" w:hAnsi="Times New Roman" w:cs="Times New Roman" w:eastAsiaTheme="minorEastAsia"/>
                <w:b w:val="0"/>
                <w:bCs w:val="0"/>
                <w:color w:val="000000"/>
                <w:sz w:val="18"/>
                <w:szCs w:val="18"/>
                <w:shd w:val="clear" w:color="auto" w:fill="FFFFFF"/>
                <w:lang w:val="en-US" w:eastAsia="zh-CN"/>
              </w:rPr>
            </w:pPr>
          </w:p>
          <w:p>
            <w:pPr>
              <w:overflowPunct/>
              <w:autoSpaceDE/>
              <w:autoSpaceDN/>
              <w:adjustRightInd/>
              <w:jc w:val="left"/>
              <w:rPr>
                <w:rFonts w:hint="default" w:ascii="Times New Roman" w:hAnsi="Times New Roman" w:cs="Times New Roman" w:eastAsiaTheme="minorEastAsia"/>
                <w:b w:val="0"/>
                <w:bCs w:val="0"/>
                <w:color w:val="000000"/>
                <w:sz w:val="18"/>
                <w:szCs w:val="18"/>
                <w:shd w:val="clear" w:color="auto" w:fill="FFFFFF"/>
                <w:lang w:val="en-US" w:eastAsia="zh-CN"/>
              </w:rPr>
            </w:pPr>
          </w:p>
          <w:p>
            <w:pPr>
              <w:overflowPunct/>
              <w:autoSpaceDE/>
              <w:autoSpaceDN/>
              <w:adjustRightInd/>
              <w:jc w:val="left"/>
              <w:rPr>
                <w:rFonts w:hint="default" w:ascii="Times New Roman" w:hAnsi="Times New Roman" w:cs="Times New Roman" w:eastAsiaTheme="minorEastAsia"/>
                <w:b w:val="0"/>
                <w:bCs w:val="0"/>
                <w:color w:val="000000"/>
                <w:sz w:val="18"/>
                <w:szCs w:val="18"/>
                <w:shd w:val="clear" w:color="auto" w:fill="FFFFFF"/>
                <w:lang w:val="en-US" w:eastAsia="zh-CN"/>
              </w:rPr>
            </w:pPr>
            <w:r>
              <w:rPr>
                <w:rFonts w:hint="default" w:ascii="Times New Roman" w:hAnsi="Times New Roman" w:cs="Times New Roman" w:eastAsiaTheme="minorEastAsia"/>
                <w:color w:val="auto"/>
                <w:spacing w:val="8"/>
                <w:kern w:val="2"/>
                <w:sz w:val="18"/>
                <w:szCs w:val="18"/>
                <w:u w:val="none"/>
                <w:shd w:val="clear" w:color="auto" w:fill="FFFFFF"/>
                <w:lang w:val="en-US" w:eastAsia="zh-CN" w:bidi="ar-SA"/>
              </w:rPr>
              <w:t>多维度实施“业务能力提升年”活动</w:t>
            </w:r>
          </w:p>
          <w:p>
            <w:pPr>
              <w:overflowPunct/>
              <w:autoSpaceDE/>
              <w:autoSpaceDN/>
              <w:adjustRightInd/>
              <w:jc w:val="left"/>
              <w:rPr>
                <w:rFonts w:hint="default" w:ascii="Times New Roman" w:hAnsi="Times New Roman" w:cs="Times New Roman" w:eastAsiaTheme="minorEastAsia"/>
                <w:b w:val="0"/>
                <w:bCs w:val="0"/>
                <w:color w:val="000000"/>
                <w:sz w:val="18"/>
                <w:szCs w:val="18"/>
                <w:shd w:val="clear" w:color="auto" w:fill="FFFFFF"/>
                <w:lang w:val="en-US" w:eastAsia="zh-CN"/>
              </w:rPr>
            </w:pPr>
          </w:p>
          <w:p>
            <w:pPr>
              <w:overflowPunct/>
              <w:autoSpaceDE/>
              <w:autoSpaceDN/>
              <w:adjustRightInd/>
              <w:jc w:val="left"/>
              <w:rPr>
                <w:rFonts w:hint="default" w:ascii="Times New Roman" w:hAnsi="Times New Roman" w:cs="Times New Roman"/>
                <w:color w:val="000000"/>
                <w:sz w:val="18"/>
                <w:szCs w:val="18"/>
              </w:rPr>
            </w:pPr>
          </w:p>
        </w:tc>
        <w:tc>
          <w:tcPr>
            <w:tcW w:w="6095" w:type="dxa"/>
            <w:tcBorders>
              <w:top w:val="nil"/>
              <w:left w:val="nil"/>
              <w:bottom w:val="single" w:color="auto" w:sz="4" w:space="0"/>
              <w:right w:val="single" w:color="auto" w:sz="4" w:space="0"/>
            </w:tcBorders>
            <w:shd w:val="clear" w:color="auto" w:fill="auto"/>
            <w:vAlign w:val="center"/>
          </w:tcPr>
          <w:p>
            <w:pPr>
              <w:overflowPunct/>
              <w:autoSpaceDE/>
              <w:autoSpaceDN/>
              <w:adjustRightInd/>
              <w:jc w:val="left"/>
              <w:rPr>
                <w:rFonts w:hint="default" w:ascii="Times New Roman" w:hAnsi="Times New Roman" w:eastAsia="等线" w:cs="Times New Roman"/>
                <w:color w:val="000000"/>
                <w:sz w:val="18"/>
                <w:szCs w:val="18"/>
              </w:rPr>
            </w:pPr>
            <w:r>
              <w:rPr>
                <w:rFonts w:hint="default" w:ascii="Times New Roman" w:hAnsi="Times New Roman" w:cs="Times New Roman" w:eastAsiaTheme="minorEastAsia"/>
                <w:color w:val="auto"/>
                <w:spacing w:val="8"/>
                <w:kern w:val="2"/>
                <w:sz w:val="18"/>
                <w:szCs w:val="18"/>
                <w:u w:val="none"/>
                <w:shd w:val="clear" w:color="auto" w:fill="FFFFFF"/>
                <w:lang w:val="en-US" w:eastAsia="zh-CN" w:bidi="ar-SA"/>
              </w:rPr>
              <w:t>一是坚持以习近平新时代中国特色社会主义思想为指引，全面加强干部队伍的能力与作风建设。对照“六个春城”建设需要，我们深化“争当实干家、整治太平官”工作，鼓励社科联全体干部积极参与。重点解决干部队伍中存在的干事激情不够足、能力素质不够强、工作作风不够硬的问题，强素质、转作风、提效能、促发展，全面提升社科联干部队伍能力作风，为业务工作的提质增效打好基础。从政治能力、调查研究能力、文字基本功、语言表达能力、科学决策能力、组织协调能力和群众工作能力7方面加强社科联业务建设，不断提升社科联自身工作水平和效能，以更好地履行职责，推动哲学社会科学事业的繁荣发展。全年共举办轮讲大课堂3期，参与人数达到50余人次，有效提升了全体干部职工的政治判断力、政治领悟力和政治执行力。二是积极参与第三届全民阅读大会筹备，市社科联遵循中宣部《第三届全民阅读大会活动方案》及市委宣传部具体指导，联合市外办、市融媒体中心等多个部门，成功承办了“第三届全民阅读大会·阅读与城市发展论坛”，并与市生态环境局共同协办了“第三届全民阅读大会·阅读与生态文明论坛”。两个论坛均反响热烈，得到了与会嘉宾的高度评价，对推动深化阅读推广、激发市民阅读热情、加强国内外文化交流合作以及提升城市文明水平具有积极意义。三是我们还组织了外出学习活动，前往友邻社科联交流社科工作先进经验，为自身发展带来新的思路和方向。四是在服务群众方面，我们协助定点帮扶的北观社区成功引进了食用菌栽培项目，为村民提供了就业与增收的新机会。五是注重内部人才的培养与选拔。今年，我们共选拔优秀干部3名，其中2名被提拔到重要岗位任职；同时，我们还组织了6次业务培训和交流活动，有效提升了干部的专业素养和综合能力。积极参与2024年市级机关“实干先锋”推选，1名党员被评为2024年市级机关“实干先锋”。截止10月底，市社科联党组共激励“实干家”型干部4人。</w:t>
            </w:r>
          </w:p>
        </w:tc>
      </w:tr>
    </w:tbl>
    <w:p>
      <w:pPr>
        <w:topLinePunct/>
        <w:jc w:val="left"/>
        <w:rPr>
          <w:rFonts w:hint="default" w:ascii="Times New Roman" w:hAnsi="Times New Roman" w:eastAsia="楷体" w:cs="Times New Roman"/>
          <w:sz w:val="24"/>
          <w:szCs w:val="24"/>
        </w:rPr>
      </w:pPr>
    </w:p>
    <w:p>
      <w:pPr>
        <w:ind w:firstLine="560" w:firstLineChars="200"/>
        <w:outlineLvl w:val="0"/>
        <w:rPr>
          <w:rFonts w:hint="default" w:ascii="Times New Roman" w:hAnsi="Times New Roman" w:eastAsia="楷体_GB2312" w:cs="Times New Roman"/>
          <w:sz w:val="28"/>
          <w:szCs w:val="28"/>
        </w:rPr>
      </w:pPr>
      <w:bookmarkStart w:id="8" w:name="_Toc1201712532"/>
      <w:r>
        <w:rPr>
          <w:rFonts w:hint="default" w:ascii="Times New Roman" w:hAnsi="Times New Roman" w:eastAsia="楷体_GB2312" w:cs="Times New Roman"/>
          <w:sz w:val="28"/>
          <w:szCs w:val="28"/>
        </w:rPr>
        <w:t>（四）部门管理制度</w:t>
      </w:r>
      <w:bookmarkEnd w:id="8"/>
    </w:p>
    <w:p>
      <w:pPr>
        <w:overflowPunct/>
        <w:autoSpaceDE/>
        <w:autoSpaceDN/>
        <w:adjustRightInd/>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将行政事业单位内部控制工作纳入绩效考核的范围，制定了</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内部控制</w:t>
      </w:r>
      <w:r>
        <w:rPr>
          <w:rFonts w:hint="default" w:ascii="Times New Roman" w:hAnsi="Times New Roman" w:eastAsia="仿宋_GB2312" w:cs="Times New Roman"/>
          <w:sz w:val="28"/>
          <w:szCs w:val="28"/>
          <w:lang w:eastAsia="zh-CN"/>
        </w:rPr>
        <w:t>管理制度</w:t>
      </w:r>
      <w:r>
        <w:rPr>
          <w:rFonts w:hint="default" w:ascii="Times New Roman" w:hAnsi="Times New Roman" w:eastAsia="仿宋_GB2312" w:cs="Times New Roman"/>
          <w:sz w:val="28"/>
          <w:szCs w:val="28"/>
        </w:rPr>
        <w:t>，包括：</w:t>
      </w:r>
      <w:r>
        <w:rPr>
          <w:rFonts w:hint="default" w:ascii="Times New Roman" w:hAnsi="Times New Roman" w:eastAsia="仿宋_GB2312" w:cs="Times New Roman"/>
          <w:sz w:val="28"/>
          <w:szCs w:val="28"/>
          <w:lang w:eastAsia="zh-CN"/>
        </w:rPr>
        <w:t>预算绩效管理暂行办法、预算绩效考核办法（暂行）、预算绩效管理工作制度（暂行）、预算绩效管理实施办法、预算绩效管理工作协调机制等</w:t>
      </w:r>
      <w:r>
        <w:rPr>
          <w:rFonts w:hint="default" w:ascii="Times New Roman" w:hAnsi="Times New Roman" w:eastAsia="仿宋_GB2312" w:cs="Times New Roman"/>
          <w:sz w:val="28"/>
          <w:szCs w:val="28"/>
        </w:rPr>
        <w:t>制度。</w:t>
      </w:r>
    </w:p>
    <w:p>
      <w:pPr>
        <w:overflowPunct/>
        <w:autoSpaceDE/>
        <w:autoSpaceDN/>
        <w:adjustRightInd/>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完善并印发了《</w:t>
      </w:r>
      <w:r>
        <w:rPr>
          <w:rFonts w:hint="default" w:ascii="Times New Roman" w:hAnsi="Times New Roman" w:eastAsia="仿宋_GB2312" w:cs="Times New Roman"/>
          <w:sz w:val="28"/>
          <w:szCs w:val="28"/>
          <w:lang w:eastAsia="zh-CN"/>
        </w:rPr>
        <w:t>昆明市社会科学界联合会财务管理制度</w:t>
      </w:r>
      <w:r>
        <w:rPr>
          <w:rFonts w:hint="default" w:ascii="Times New Roman" w:hAnsi="Times New Roman" w:eastAsia="仿宋_GB2312" w:cs="Times New Roman"/>
          <w:sz w:val="28"/>
          <w:szCs w:val="28"/>
        </w:rPr>
        <w:t>》，对</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内部控制组织与职责分工、“三重一大”决策议事机制、关键岗位责任制、业务层面内部控制（包括预算、收支、政府采购、资产管理、）、内部控制检查报告等流程进行了规范，提升了</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对各类经济事项的制度化、流程化管理水平。</w:t>
      </w:r>
    </w:p>
    <w:p>
      <w:pPr>
        <w:ind w:firstLine="560" w:firstLineChars="200"/>
        <w:outlineLvl w:val="0"/>
        <w:rPr>
          <w:rFonts w:hint="default" w:ascii="Times New Roman" w:hAnsi="Times New Roman" w:eastAsia="楷体_GB2312" w:cs="Times New Roman"/>
          <w:sz w:val="28"/>
          <w:szCs w:val="28"/>
        </w:rPr>
      </w:pPr>
      <w:bookmarkStart w:id="9" w:name="_Toc1863915367"/>
      <w:r>
        <w:rPr>
          <w:rFonts w:hint="default" w:ascii="Times New Roman" w:hAnsi="Times New Roman" w:eastAsia="楷体_GB2312" w:cs="Times New Roman"/>
          <w:sz w:val="28"/>
          <w:szCs w:val="28"/>
        </w:rPr>
        <w:t>（五）部门资金来源及使用情况</w:t>
      </w:r>
      <w:bookmarkEnd w:id="9"/>
    </w:p>
    <w:p>
      <w:pPr>
        <w:adjustRightInd/>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1、年初预算。根据昆明市财政局《关于批复202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年部门预算的通知》（昆财</w:t>
      </w:r>
      <w:r>
        <w:rPr>
          <w:rFonts w:hint="default" w:ascii="Times New Roman" w:hAnsi="Times New Roman" w:eastAsia="仿宋_GB2312" w:cs="Times New Roman"/>
          <w:sz w:val="28"/>
          <w:szCs w:val="28"/>
          <w:lang w:eastAsia="zh-CN"/>
        </w:rPr>
        <w:t>预</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号），</w:t>
      </w:r>
      <w:bookmarkStart w:id="10" w:name="_Hlk100840022"/>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年年初预算资金为</w:t>
      </w:r>
      <w:r>
        <w:rPr>
          <w:rFonts w:hint="default" w:ascii="Times New Roman" w:hAnsi="Times New Roman" w:eastAsia="仿宋_GB2312" w:cs="Times New Roman"/>
          <w:sz w:val="28"/>
          <w:szCs w:val="28"/>
          <w:lang w:val="en-US" w:eastAsia="zh-CN"/>
        </w:rPr>
        <w:t>598.24</w:t>
      </w:r>
      <w:r>
        <w:rPr>
          <w:rFonts w:hint="default" w:ascii="Times New Roman" w:hAnsi="Times New Roman" w:eastAsia="仿宋_GB2312" w:cs="Times New Roman"/>
          <w:sz w:val="28"/>
          <w:szCs w:val="28"/>
        </w:rPr>
        <w:t>万元（一般公共预算</w:t>
      </w:r>
      <w:r>
        <w:rPr>
          <w:rFonts w:hint="default" w:ascii="Times New Roman" w:hAnsi="Times New Roman" w:eastAsia="仿宋_GB2312" w:cs="Times New Roman"/>
          <w:sz w:val="28"/>
          <w:szCs w:val="28"/>
          <w:lang w:val="en-US" w:eastAsia="zh-CN"/>
        </w:rPr>
        <w:t>598.24</w:t>
      </w:r>
      <w:r>
        <w:rPr>
          <w:rFonts w:hint="default" w:ascii="Times New Roman" w:hAnsi="Times New Roman" w:eastAsia="仿宋_GB2312" w:cs="Times New Roman"/>
          <w:sz w:val="28"/>
          <w:szCs w:val="28"/>
        </w:rPr>
        <w:t>万元），其中：基本支出</w:t>
      </w:r>
      <w:r>
        <w:rPr>
          <w:rFonts w:hint="default" w:ascii="Times New Roman" w:hAnsi="Times New Roman" w:eastAsia="仿宋_GB2312" w:cs="Times New Roman"/>
          <w:sz w:val="28"/>
          <w:szCs w:val="28"/>
          <w:lang w:val="en-US" w:eastAsia="zh-CN"/>
        </w:rPr>
        <w:t>478.04</w:t>
      </w:r>
      <w:r>
        <w:rPr>
          <w:rFonts w:hint="default" w:ascii="Times New Roman" w:hAnsi="Times New Roman" w:eastAsia="仿宋_GB2312" w:cs="Times New Roman"/>
          <w:sz w:val="28"/>
          <w:szCs w:val="28"/>
        </w:rPr>
        <w:t>万元（含人员经费</w:t>
      </w:r>
      <w:r>
        <w:rPr>
          <w:rFonts w:hint="default" w:ascii="Times New Roman" w:hAnsi="Times New Roman" w:eastAsia="仿宋_GB2312" w:cs="Times New Roman"/>
          <w:sz w:val="28"/>
          <w:szCs w:val="28"/>
          <w:lang w:val="en-US" w:eastAsia="zh-CN"/>
        </w:rPr>
        <w:t>434.01万</w:t>
      </w:r>
      <w:r>
        <w:rPr>
          <w:rFonts w:hint="default" w:ascii="Times New Roman" w:hAnsi="Times New Roman" w:eastAsia="仿宋_GB2312" w:cs="Times New Roman"/>
          <w:sz w:val="28"/>
          <w:szCs w:val="28"/>
        </w:rPr>
        <w:t>元、公用经费</w:t>
      </w:r>
      <w:r>
        <w:rPr>
          <w:rFonts w:hint="default" w:ascii="Times New Roman" w:hAnsi="Times New Roman" w:eastAsia="仿宋_GB2312" w:cs="Times New Roman"/>
          <w:sz w:val="28"/>
          <w:szCs w:val="28"/>
          <w:lang w:val="en-US" w:eastAsia="zh-CN"/>
        </w:rPr>
        <w:t>44.03</w:t>
      </w:r>
      <w:r>
        <w:rPr>
          <w:rFonts w:hint="default" w:ascii="Times New Roman" w:hAnsi="Times New Roman" w:eastAsia="仿宋_GB2312" w:cs="Times New Roman"/>
          <w:sz w:val="28"/>
          <w:szCs w:val="28"/>
        </w:rPr>
        <w:t>万元）、项目支出</w:t>
      </w:r>
      <w:r>
        <w:rPr>
          <w:rFonts w:hint="default" w:ascii="Times New Roman" w:hAnsi="Times New Roman" w:eastAsia="仿宋_GB2312" w:cs="Times New Roman"/>
          <w:sz w:val="28"/>
          <w:szCs w:val="28"/>
          <w:lang w:val="en-US" w:eastAsia="zh-CN"/>
        </w:rPr>
        <w:t>120.2</w:t>
      </w:r>
      <w:r>
        <w:rPr>
          <w:rFonts w:hint="default" w:ascii="Times New Roman" w:hAnsi="Times New Roman" w:eastAsia="仿宋_GB2312" w:cs="Times New Roman"/>
          <w:sz w:val="28"/>
          <w:szCs w:val="28"/>
        </w:rPr>
        <w:t>万元（其中：项目</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个，预算金额</w:t>
      </w:r>
      <w:r>
        <w:rPr>
          <w:rFonts w:hint="default" w:ascii="Times New Roman" w:hAnsi="Times New Roman" w:eastAsia="仿宋_GB2312" w:cs="Times New Roman"/>
          <w:sz w:val="28"/>
          <w:szCs w:val="28"/>
          <w:lang w:val="en-US" w:eastAsia="zh-CN"/>
        </w:rPr>
        <w:t>120.2</w:t>
      </w:r>
      <w:r>
        <w:rPr>
          <w:rFonts w:hint="default" w:ascii="Times New Roman" w:hAnsi="Times New Roman" w:eastAsia="仿宋_GB2312" w:cs="Times New Roman"/>
          <w:sz w:val="28"/>
          <w:szCs w:val="28"/>
        </w:rPr>
        <w:t>万元）。</w:t>
      </w:r>
    </w:p>
    <w:bookmarkEnd w:id="10"/>
    <w:p>
      <w:pPr>
        <w:adjustRightInd/>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2、收入情况。202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可支配收入</w:t>
      </w:r>
      <w:r>
        <w:rPr>
          <w:rFonts w:hint="default" w:ascii="Times New Roman" w:hAnsi="Times New Roman" w:eastAsia="仿宋_GB2312" w:cs="Times New Roman"/>
          <w:sz w:val="28"/>
          <w:szCs w:val="28"/>
          <w:lang w:val="en-US" w:eastAsia="zh-CN"/>
        </w:rPr>
        <w:t>598.24</w:t>
      </w:r>
      <w:r>
        <w:rPr>
          <w:rFonts w:hint="default" w:ascii="Times New Roman" w:hAnsi="Times New Roman" w:eastAsia="仿宋_GB2312" w:cs="Times New Roman"/>
          <w:sz w:val="28"/>
          <w:szCs w:val="28"/>
        </w:rPr>
        <w:t>万元，其中：年初结转结余0万元，本年一般公共预算收入</w:t>
      </w:r>
      <w:r>
        <w:rPr>
          <w:rFonts w:hint="default" w:ascii="Times New Roman" w:hAnsi="Times New Roman" w:eastAsia="仿宋_GB2312" w:cs="Times New Roman"/>
          <w:sz w:val="28"/>
          <w:szCs w:val="28"/>
          <w:lang w:val="en-US" w:eastAsia="zh-CN"/>
        </w:rPr>
        <w:t>598.24</w:t>
      </w:r>
      <w:r>
        <w:rPr>
          <w:rFonts w:hint="default" w:ascii="Times New Roman" w:hAnsi="Times New Roman" w:eastAsia="仿宋_GB2312" w:cs="Times New Roman"/>
          <w:sz w:val="28"/>
          <w:szCs w:val="28"/>
        </w:rPr>
        <w:t>万元。</w:t>
      </w:r>
    </w:p>
    <w:p>
      <w:pPr>
        <w:adjustRightInd/>
        <w:ind w:firstLine="560" w:firstLineChars="200"/>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color w:val="auto"/>
          <w:sz w:val="28"/>
          <w:szCs w:val="28"/>
        </w:rPr>
        <w:t>3、支出情况。202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eastAsia="zh-CN"/>
        </w:rPr>
        <w:t>市社科联</w:t>
      </w:r>
      <w:r>
        <w:rPr>
          <w:rFonts w:hint="default" w:ascii="Times New Roman" w:hAnsi="Times New Roman" w:eastAsia="仿宋_GB2312" w:cs="Times New Roman"/>
          <w:color w:val="auto"/>
          <w:sz w:val="28"/>
          <w:szCs w:val="28"/>
        </w:rPr>
        <w:t>实际支出</w:t>
      </w:r>
      <w:r>
        <w:rPr>
          <w:rFonts w:hint="default" w:ascii="Times New Roman" w:hAnsi="Times New Roman" w:eastAsia="仿宋_GB2312" w:cs="Times New Roman"/>
          <w:color w:val="auto"/>
          <w:sz w:val="28"/>
          <w:szCs w:val="28"/>
          <w:lang w:val="en-US" w:eastAsia="zh-CN"/>
        </w:rPr>
        <w:t>516.02</w:t>
      </w:r>
      <w:r>
        <w:rPr>
          <w:rFonts w:hint="default" w:ascii="Times New Roman" w:hAnsi="Times New Roman" w:eastAsia="仿宋_GB2312" w:cs="Times New Roman"/>
          <w:color w:val="auto"/>
          <w:sz w:val="28"/>
          <w:szCs w:val="28"/>
        </w:rPr>
        <w:t>万元，其中：基本支出</w:t>
      </w:r>
      <w:r>
        <w:rPr>
          <w:rFonts w:hint="default" w:ascii="Times New Roman" w:hAnsi="Times New Roman" w:eastAsia="仿宋_GB2312" w:cs="Times New Roman"/>
          <w:color w:val="auto"/>
          <w:sz w:val="28"/>
          <w:szCs w:val="28"/>
          <w:lang w:val="en-US" w:eastAsia="zh-CN"/>
        </w:rPr>
        <w:t>442.64</w:t>
      </w:r>
      <w:r>
        <w:rPr>
          <w:rFonts w:hint="default" w:ascii="Times New Roman" w:hAnsi="Times New Roman" w:eastAsia="仿宋_GB2312" w:cs="Times New Roman"/>
          <w:color w:val="auto"/>
          <w:sz w:val="28"/>
          <w:szCs w:val="28"/>
        </w:rPr>
        <w:t>万元，项目支出</w:t>
      </w:r>
      <w:r>
        <w:rPr>
          <w:rFonts w:hint="default" w:ascii="Times New Roman" w:hAnsi="Times New Roman" w:eastAsia="仿宋_GB2312" w:cs="Times New Roman"/>
          <w:color w:val="auto"/>
          <w:sz w:val="28"/>
          <w:szCs w:val="28"/>
          <w:lang w:val="en-US" w:eastAsia="zh-CN"/>
        </w:rPr>
        <w:t>73.38</w:t>
      </w:r>
      <w:r>
        <w:rPr>
          <w:rFonts w:hint="default" w:ascii="Times New Roman" w:hAnsi="Times New Roman" w:eastAsia="仿宋_GB2312" w:cs="Times New Roman"/>
          <w:color w:val="auto"/>
          <w:sz w:val="28"/>
          <w:szCs w:val="28"/>
        </w:rPr>
        <w:t>万元，项目支出较年初预算</w:t>
      </w:r>
      <w:r>
        <w:rPr>
          <w:rFonts w:hint="default" w:ascii="Times New Roman" w:hAnsi="Times New Roman" w:eastAsia="仿宋_GB2312" w:cs="Times New Roman"/>
          <w:color w:val="auto"/>
          <w:sz w:val="28"/>
          <w:szCs w:val="28"/>
          <w:lang w:eastAsia="zh-CN"/>
        </w:rPr>
        <w:t>减少</w:t>
      </w:r>
      <w:r>
        <w:rPr>
          <w:rFonts w:hint="default" w:ascii="Times New Roman" w:hAnsi="Times New Roman" w:eastAsia="仿宋_GB2312" w:cs="Times New Roman"/>
          <w:color w:val="auto"/>
          <w:sz w:val="28"/>
          <w:szCs w:val="28"/>
        </w:rPr>
        <w:t>，主要是</w:t>
      </w:r>
      <w:r>
        <w:rPr>
          <w:rFonts w:hint="default" w:ascii="Times New Roman" w:hAnsi="Times New Roman" w:eastAsia="仿宋_GB2312" w:cs="Times New Roman"/>
          <w:color w:val="auto"/>
          <w:sz w:val="28"/>
          <w:szCs w:val="28"/>
          <w:lang w:eastAsia="zh-CN"/>
        </w:rPr>
        <w:t>社科规划课题研究经费由财政直接划转</w:t>
      </w:r>
      <w:bookmarkStart w:id="11" w:name="_Hlk100838877"/>
      <w:r>
        <w:rPr>
          <w:rFonts w:hint="default" w:ascii="Times New Roman" w:hAnsi="Times New Roman" w:eastAsia="仿宋_GB2312" w:cs="Times New Roman"/>
          <w:color w:val="auto"/>
          <w:sz w:val="28"/>
          <w:szCs w:val="28"/>
          <w:lang w:eastAsia="zh-CN"/>
        </w:rPr>
        <w:t>至课题执行单位，导致决算数减少</w:t>
      </w:r>
      <w:r>
        <w:rPr>
          <w:rFonts w:hint="default" w:ascii="Times New Roman" w:hAnsi="Times New Roman" w:eastAsia="仿宋_GB2312" w:cs="Times New Roman"/>
          <w:color w:val="auto"/>
          <w:sz w:val="28"/>
          <w:szCs w:val="28"/>
        </w:rPr>
        <w:t>。</w:t>
      </w:r>
    </w:p>
    <w:bookmarkEnd w:id="11"/>
    <w:p>
      <w:pPr>
        <w:adjustRightInd/>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4、结转结余情况。202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年初结转结余0万元，年末结转结余资金0万元。</w:t>
      </w:r>
    </w:p>
    <w:p>
      <w:pPr>
        <w:ind w:firstLine="560" w:firstLineChars="200"/>
        <w:outlineLvl w:val="0"/>
        <w:rPr>
          <w:rFonts w:hint="default" w:ascii="Times New Roman" w:hAnsi="Times New Roman" w:eastAsia="楷体_GB2312" w:cs="Times New Roman"/>
          <w:sz w:val="28"/>
          <w:szCs w:val="28"/>
        </w:rPr>
      </w:pPr>
      <w:bookmarkStart w:id="12" w:name="_Toc1703950465"/>
      <w:r>
        <w:rPr>
          <w:rFonts w:hint="default" w:ascii="Times New Roman" w:hAnsi="Times New Roman" w:eastAsia="楷体_GB2312" w:cs="Times New Roman"/>
          <w:sz w:val="28"/>
          <w:szCs w:val="28"/>
        </w:rPr>
        <w:t>（六）政府采购情况</w:t>
      </w:r>
      <w:bookmarkEnd w:id="12"/>
    </w:p>
    <w:p>
      <w:pPr>
        <w:adjustRightInd/>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根据《中华人民共和国政府采购法》的有关规定，202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zh-CN"/>
        </w:rPr>
        <w:t>年市社科联政府采购预算资金</w:t>
      </w:r>
      <w:r>
        <w:rPr>
          <w:rFonts w:hint="default" w:ascii="Times New Roman" w:hAnsi="Times New Roman" w:eastAsia="仿宋_GB2312" w:cs="Times New Roman"/>
          <w:sz w:val="28"/>
          <w:szCs w:val="28"/>
          <w:lang w:val="en-US" w:eastAsia="zh-CN"/>
        </w:rPr>
        <w:t>2.656</w:t>
      </w:r>
      <w:r>
        <w:rPr>
          <w:rFonts w:hint="default" w:ascii="Times New Roman" w:hAnsi="Times New Roman" w:eastAsia="仿宋_GB2312" w:cs="Times New Roman"/>
          <w:sz w:val="28"/>
          <w:szCs w:val="28"/>
          <w:lang w:val="zh-CN"/>
        </w:rPr>
        <w:t>万元，主要包括《昆明社会科学》全年四期印刷费及复印纸采购。202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zh-CN"/>
        </w:rPr>
        <w:t>年，市社科联政府采购实际执行金额</w:t>
      </w:r>
      <w:r>
        <w:rPr>
          <w:rFonts w:hint="default" w:ascii="Times New Roman" w:hAnsi="Times New Roman" w:eastAsia="仿宋_GB2312" w:cs="Times New Roman"/>
          <w:sz w:val="28"/>
          <w:szCs w:val="28"/>
          <w:lang w:val="en-US" w:eastAsia="zh-CN"/>
        </w:rPr>
        <w:t>2.656</w:t>
      </w:r>
      <w:r>
        <w:rPr>
          <w:rFonts w:hint="default" w:ascii="Times New Roman" w:hAnsi="Times New Roman" w:eastAsia="仿宋_GB2312" w:cs="Times New Roman"/>
          <w:sz w:val="28"/>
          <w:szCs w:val="28"/>
          <w:lang w:val="zh-CN"/>
        </w:rPr>
        <w:t>万元，完成全年采购计划。</w:t>
      </w:r>
    </w:p>
    <w:p>
      <w:pPr>
        <w:adjustRightInd/>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政府采购管理方面，对于政府采购的项目，由办公室以及职能处室共同实施，根据政府采购相关制度和流程，执行了集中采购、竞争性谈判或询价采购、合同签署、合同执行、验收等环节的工作，采购管理、合同管理等内部控制执行较好。</w:t>
      </w:r>
    </w:p>
    <w:p>
      <w:pPr>
        <w:ind w:firstLine="560" w:firstLineChars="200"/>
        <w:outlineLvl w:val="0"/>
        <w:rPr>
          <w:rFonts w:hint="default" w:ascii="Times New Roman" w:hAnsi="Times New Roman" w:eastAsia="楷体_GB2312" w:cs="Times New Roman"/>
          <w:sz w:val="28"/>
          <w:szCs w:val="28"/>
        </w:rPr>
      </w:pPr>
      <w:bookmarkStart w:id="13" w:name="_Toc931898239"/>
      <w:r>
        <w:rPr>
          <w:rFonts w:hint="default" w:ascii="Times New Roman" w:hAnsi="Times New Roman" w:eastAsia="楷体_GB2312" w:cs="Times New Roman"/>
          <w:sz w:val="28"/>
          <w:szCs w:val="28"/>
        </w:rPr>
        <w:t>（七）固定资产情况</w:t>
      </w:r>
      <w:bookmarkEnd w:id="13"/>
    </w:p>
    <w:p>
      <w:pPr>
        <w:overflowPunct/>
        <w:autoSpaceDE/>
        <w:autoSpaceDN/>
        <w:adjustRightInd/>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截至202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年12月31日，除上述情况外，资产管理系统卡片总金额与决算报表中固定资产、无形资产金额一致，目前</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资产均为正常使用状态。</w:t>
      </w:r>
    </w:p>
    <w:p>
      <w:pPr>
        <w:adjustRightInd/>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固定资产管理制度方面，根据《昆明市行政事业单位国有资产管理办法》（昆政办〔2021〕78号）、《昆明市市级行政事业单位国有资产配置管理办法》（昆财资〔 2021〕273号）、《昆明市市级行政事业单位国有资产使用管理办法》（昆财资〔 2021〕274号）、《昆明市市级行政事业单位国有资产处置管理办法》（昆财资〔 2021〕275号），固定资产配置、购入、使用、清查、移交、处置、监督管理等均按制度执行。</w:t>
      </w:r>
    </w:p>
    <w:p>
      <w:pPr>
        <w:widowControl w:val="0"/>
        <w:overflowPunct/>
        <w:ind w:firstLine="640" w:firstLineChars="200"/>
        <w:outlineLvl w:val="0"/>
        <w:rPr>
          <w:rFonts w:hint="default" w:ascii="Times New Roman" w:hAnsi="Times New Roman" w:eastAsia="黑体" w:cs="Times New Roman"/>
          <w:kern w:val="44"/>
          <w:sz w:val="32"/>
          <w:szCs w:val="32"/>
          <w:lang w:val="zh-CN"/>
        </w:rPr>
      </w:pPr>
      <w:bookmarkStart w:id="14" w:name="_Toc1689054140"/>
      <w:r>
        <w:rPr>
          <w:rFonts w:hint="default" w:ascii="Times New Roman" w:hAnsi="Times New Roman" w:eastAsia="黑体" w:cs="Times New Roman"/>
          <w:kern w:val="44"/>
          <w:sz w:val="32"/>
          <w:szCs w:val="32"/>
          <w:lang w:val="zh-CN"/>
        </w:rPr>
        <w:t>二、绩效目标</w:t>
      </w:r>
      <w:bookmarkEnd w:id="14"/>
    </w:p>
    <w:p>
      <w:pPr>
        <w:ind w:firstLine="560" w:firstLineChars="200"/>
        <w:outlineLvl w:val="0"/>
        <w:rPr>
          <w:rFonts w:hint="default" w:ascii="Times New Roman" w:hAnsi="Times New Roman" w:eastAsia="楷体_GB2312" w:cs="Times New Roman"/>
          <w:sz w:val="28"/>
          <w:szCs w:val="28"/>
        </w:rPr>
      </w:pPr>
      <w:bookmarkStart w:id="15" w:name="_Toc1911752274"/>
      <w:r>
        <w:rPr>
          <w:rFonts w:hint="default" w:ascii="Times New Roman" w:hAnsi="Times New Roman" w:eastAsia="楷体_GB2312" w:cs="Times New Roman"/>
          <w:sz w:val="28"/>
          <w:szCs w:val="28"/>
        </w:rPr>
        <w:t>（一）部门总目标</w:t>
      </w:r>
      <w:bookmarkEnd w:id="15"/>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部门整体绩效目标，经归纳整理，总目标如下：</w:t>
      </w:r>
    </w:p>
    <w:p>
      <w:pPr>
        <w:adjustRightInd/>
        <w:ind w:firstLine="560" w:firstLineChars="200"/>
        <w:rPr>
          <w:rFonts w:hint="default" w:ascii="Times New Roman" w:hAnsi="Times New Roman" w:cs="Times New Roman"/>
        </w:rPr>
      </w:pPr>
      <w:r>
        <w:rPr>
          <w:rFonts w:hint="default" w:ascii="Times New Roman" w:hAnsi="Times New Roman" w:eastAsia="仿宋_GB2312" w:cs="Times New Roman"/>
          <w:sz w:val="28"/>
          <w:szCs w:val="28"/>
        </w:rPr>
        <w:t>1.专项业务</w:t>
      </w:r>
    </w:p>
    <w:p>
      <w:pPr>
        <w:adjustRightInd/>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（1）</w:t>
      </w:r>
      <w:r>
        <w:rPr>
          <w:rFonts w:hint="default" w:ascii="Times New Roman" w:hAnsi="Times New Roman" w:eastAsia="仿宋_GB2312" w:cs="Times New Roman"/>
          <w:sz w:val="28"/>
          <w:szCs w:val="28"/>
          <w:lang w:val="zh-CN" w:eastAsia="zh-CN"/>
        </w:rPr>
        <w:t>社科规划课题研究。</w:t>
      </w:r>
      <w:r>
        <w:rPr>
          <w:rFonts w:hint="default" w:ascii="Times New Roman" w:hAnsi="Times New Roman" w:eastAsia="仿宋_GB2312" w:cs="Times New Roman"/>
          <w:sz w:val="28"/>
          <w:szCs w:val="28"/>
          <w:lang w:val="en-US" w:eastAsia="zh-CN"/>
        </w:rPr>
        <w:t>征集、发布指南、受理申报和立项2024年度9项社科规划研究课题。围绕全面融入新发展格局，当好全省经济社会发展排头兵，全力开创昆明生态化国际化现代化发展新局面，截止6月底严格按程序、步骤和时间进度完成上半年既定计划，完成目标任务；</w:t>
      </w:r>
      <w:r>
        <w:rPr>
          <w:rFonts w:hint="default" w:ascii="Times New Roman" w:hAnsi="Times New Roman" w:eastAsia="仿宋_GB2312" w:cs="Times New Roman"/>
          <w:sz w:val="28"/>
          <w:szCs w:val="28"/>
          <w:lang w:val="zh-CN"/>
        </w:rPr>
        <w:t>验收、评审20</w:t>
      </w:r>
      <w:r>
        <w:rPr>
          <w:rFonts w:hint="default"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lang w:val="zh-CN"/>
        </w:rPr>
        <w:t>年</w:t>
      </w:r>
      <w:r>
        <w:rPr>
          <w:rFonts w:hint="default"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lang w:val="zh-CN"/>
        </w:rPr>
        <w:t>项社</w:t>
      </w:r>
      <w:r>
        <w:rPr>
          <w:rFonts w:hint="default" w:ascii="Times New Roman" w:hAnsi="Times New Roman" w:eastAsia="仿宋_GB2312" w:cs="Times New Roman"/>
          <w:sz w:val="28"/>
          <w:szCs w:val="28"/>
          <w:lang w:val="zh-CN" w:eastAsia="zh-CN"/>
        </w:rPr>
        <w:t>科</w:t>
      </w:r>
      <w:r>
        <w:rPr>
          <w:rFonts w:hint="default" w:ascii="Times New Roman" w:hAnsi="Times New Roman" w:eastAsia="仿宋_GB2312" w:cs="Times New Roman"/>
          <w:sz w:val="28"/>
          <w:szCs w:val="28"/>
          <w:lang w:val="zh-CN"/>
        </w:rPr>
        <w:t>规划课题</w:t>
      </w:r>
      <w:r>
        <w:rPr>
          <w:rFonts w:hint="default" w:ascii="Times New Roman" w:hAnsi="Times New Roman" w:eastAsia="仿宋_GB2312" w:cs="Times New Roman"/>
          <w:sz w:val="28"/>
          <w:szCs w:val="28"/>
          <w:lang w:val="zh-CN" w:eastAsia="zh-CN"/>
        </w:rPr>
        <w:t>。</w:t>
      </w:r>
      <w:r>
        <w:rPr>
          <w:rFonts w:hint="default" w:ascii="Times New Roman" w:hAnsi="Times New Roman" w:eastAsia="仿宋_GB2312" w:cs="Times New Roman"/>
          <w:sz w:val="28"/>
          <w:szCs w:val="28"/>
          <w:lang w:val="zh-CN"/>
        </w:rPr>
        <w:t>按</w:t>
      </w:r>
      <w:r>
        <w:rPr>
          <w:rFonts w:hint="default" w:ascii="Times New Roman" w:hAnsi="Times New Roman" w:eastAsia="仿宋_GB2312" w:cs="Times New Roman"/>
          <w:sz w:val="28"/>
          <w:szCs w:val="28"/>
          <w:lang w:val="zh-CN" w:eastAsia="zh-CN"/>
        </w:rPr>
        <w:t>照与</w:t>
      </w:r>
      <w:r>
        <w:rPr>
          <w:rFonts w:hint="default" w:ascii="Times New Roman" w:hAnsi="Times New Roman" w:eastAsia="仿宋_GB2312" w:cs="Times New Roman"/>
          <w:sz w:val="28"/>
          <w:szCs w:val="28"/>
          <w:lang w:val="zh-CN"/>
        </w:rPr>
        <w:t>课题</w:t>
      </w:r>
      <w:r>
        <w:rPr>
          <w:rFonts w:hint="default" w:ascii="Times New Roman" w:hAnsi="Times New Roman" w:eastAsia="仿宋_GB2312" w:cs="Times New Roman"/>
          <w:sz w:val="28"/>
          <w:szCs w:val="28"/>
          <w:lang w:val="zh-CN" w:eastAsia="zh-CN"/>
        </w:rPr>
        <w:t>组签订的协议要求，督促、跟踪指导课题组按</w:t>
      </w:r>
      <w:r>
        <w:rPr>
          <w:rFonts w:hint="default" w:ascii="Times New Roman" w:hAnsi="Times New Roman" w:eastAsia="仿宋_GB2312" w:cs="Times New Roman"/>
          <w:sz w:val="28"/>
          <w:szCs w:val="28"/>
          <w:lang w:val="zh-CN"/>
        </w:rPr>
        <w:t>研究时限</w:t>
      </w:r>
      <w:r>
        <w:rPr>
          <w:rFonts w:hint="default" w:ascii="Times New Roman" w:hAnsi="Times New Roman" w:eastAsia="仿宋_GB2312" w:cs="Times New Roman"/>
          <w:sz w:val="28"/>
          <w:szCs w:val="28"/>
          <w:lang w:val="zh-CN" w:eastAsia="zh-CN"/>
        </w:rPr>
        <w:t>、研究要求、研究评审程序等课题项目推进工作。</w:t>
      </w:r>
    </w:p>
    <w:p>
      <w:pPr>
        <w:adjustRightInd/>
        <w:ind w:firstLine="560" w:firstLineChars="200"/>
        <w:rPr>
          <w:rFonts w:hint="default" w:ascii="Times New Roman" w:hAnsi="Times New Roman" w:eastAsia="仿宋_GB2312" w:cs="Times New Roman"/>
          <w:color w:val="auto"/>
          <w:sz w:val="28"/>
          <w:szCs w:val="28"/>
          <w:lang w:val="zh-CN" w:eastAsia="zh-CN"/>
        </w:rPr>
      </w:pPr>
      <w:r>
        <w:rPr>
          <w:rFonts w:hint="default" w:ascii="Times New Roman" w:hAnsi="Times New Roman" w:eastAsia="仿宋_GB2312" w:cs="Times New Roman"/>
          <w:color w:val="auto"/>
          <w:sz w:val="28"/>
          <w:szCs w:val="28"/>
          <w:lang w:val="zh-CN"/>
        </w:rPr>
        <w:t>（2）</w:t>
      </w:r>
      <w:r>
        <w:rPr>
          <w:rFonts w:hint="default" w:ascii="Times New Roman" w:hAnsi="Times New Roman" w:eastAsia="仿宋_GB2312" w:cs="Times New Roman"/>
          <w:color w:val="auto"/>
          <w:sz w:val="28"/>
          <w:szCs w:val="28"/>
          <w:lang w:val="zh-CN" w:eastAsia="zh-CN"/>
        </w:rPr>
        <w:t>资助昆明市202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val="zh-CN" w:eastAsia="zh-CN"/>
        </w:rPr>
        <w:t>年度哲学社会科学优秀成果著作出版。</w:t>
      </w:r>
      <w:r>
        <w:rPr>
          <w:rFonts w:hint="default" w:ascii="Times New Roman" w:hAnsi="Times New Roman" w:eastAsia="仿宋_GB2312" w:cs="Times New Roman"/>
          <w:color w:val="auto"/>
          <w:sz w:val="28"/>
          <w:szCs w:val="28"/>
          <w:lang w:val="en-US" w:eastAsia="zh-CN"/>
        </w:rPr>
        <w:t>党组会议通过2部书稿《</w:t>
      </w:r>
      <w:r>
        <w:rPr>
          <w:rFonts w:hint="eastAsia" w:ascii="Times New Roman" w:hAnsi="Times New Roman" w:eastAsia="仿宋_GB2312" w:cs="Times New Roman"/>
          <w:color w:val="auto"/>
          <w:sz w:val="28"/>
          <w:szCs w:val="28"/>
          <w:lang w:val="en-US" w:eastAsia="zh-CN"/>
        </w:rPr>
        <w:t>语言生态学视觉下新时代乡村语言文明建设研究</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第二届明代云南治理与开发全国学术研讨会论文集</w:t>
      </w:r>
      <w:r>
        <w:rPr>
          <w:rFonts w:hint="default" w:ascii="Times New Roman" w:hAnsi="Times New Roman" w:eastAsia="仿宋_GB2312" w:cs="Times New Roman"/>
          <w:color w:val="auto"/>
          <w:sz w:val="28"/>
          <w:szCs w:val="28"/>
          <w:lang w:val="en-US" w:eastAsia="zh-CN"/>
        </w:rPr>
        <w:t>》立项资助，并在单位网站公示，与出版社和著作者签订合同、拨付出版经费，完成目标任务。</w:t>
      </w:r>
    </w:p>
    <w:p>
      <w:pPr>
        <w:adjustRightInd/>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auto"/>
          <w:sz w:val="28"/>
          <w:szCs w:val="28"/>
          <w:lang w:val="zh-CN"/>
        </w:rPr>
        <w:t>（3）</w:t>
      </w:r>
      <w:r>
        <w:rPr>
          <w:rFonts w:hint="default" w:ascii="Times New Roman" w:hAnsi="Times New Roman" w:eastAsia="仿宋_GB2312" w:cs="Times New Roman"/>
          <w:color w:val="auto"/>
          <w:sz w:val="28"/>
          <w:szCs w:val="28"/>
          <w:lang w:val="en-US" w:eastAsia="zh-CN"/>
        </w:rPr>
        <w:t>《昆明市2022年年度社科规划课题成果选》编辑出版工作。已</w:t>
      </w:r>
      <w:r>
        <w:rPr>
          <w:rFonts w:hint="default" w:ascii="Times New Roman" w:hAnsi="Times New Roman" w:eastAsia="仿宋_GB2312" w:cs="Times New Roman"/>
          <w:sz w:val="28"/>
          <w:szCs w:val="28"/>
          <w:lang w:val="en-US" w:eastAsia="zh-CN"/>
        </w:rPr>
        <w:t>完成签订出版合同、支付出版经费，完成前期多次编辑校对等工作。</w:t>
      </w:r>
    </w:p>
    <w:p>
      <w:pPr>
        <w:adjustRightInd/>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zh-CN" w:eastAsia="zh-CN"/>
        </w:rPr>
        <w:t>（4）</w:t>
      </w:r>
      <w:r>
        <w:rPr>
          <w:rFonts w:hint="default" w:ascii="Times New Roman" w:hAnsi="Times New Roman" w:eastAsia="仿宋_GB2312" w:cs="Times New Roman"/>
          <w:sz w:val="28"/>
          <w:szCs w:val="28"/>
          <w:lang w:val="en-US" w:eastAsia="zh-CN"/>
        </w:rPr>
        <w:t>精心筹划并有力推进社会科学普及宣传周活动。与全省同频共振，采用“1+14+N”的模式，实现市、县两级及省、市级社科普及示范基地的高效联动，深入广泛地开展了2024年社科普及宣传周活动。为扩大影响力，我们整合了社区党群服务中心、新时代文明实践中心等资源，动员了20余个部门和众多学会协会积极参与启动仪式，共同助力社科普及工作。在宣传周期间，昆明市16家省、市级科普基地充分发挥示范引领作用，通过展览、讲座、征文、知识竞赛、文艺展演及媒体宣传等多元化形式，举办了18场丰富多彩的文化展示活动，累计展演超过30场次。这些活动不仅深入宣传了习近平文化思想，普及了社科知识，传播了科学思想，更激发了科普工作者的热情。同时，我们还组织了普法宣传和现场咨询活动，邀请了10位法律和昆明历史文化领域的专家，与群众面对面交流，提供专业的咨询服务。二是持续推进社科普及活动的常态化与长效化。通过加强与科普基地、学校、社区文化活动室等众多一线活动阵地的联系，动员各类专家、学者投入到社科普及中，并根据不同群体的特点和需求，共开展有针对性的社科普及活动15场次。其中，云南师范大学法学与社会学学院的合作联合专业法律团队及青年志愿者，推出了“聚力高校资源 助力美好家园”项目。在此项目引领下，10场“法入民心”普法宣传活动与“云岭星光”志愿服务活动如火如荼地展开。志愿团队深入社区，聚焦妇女权益、邻里关系等法律热点，采用有奖竞答等生动形式，普及法律知识。另外，我们还组织了5场“法入民心”社区普法讲座，赢得了广泛赞誉。三是编辑出版科普读物，两基地荣获省级社科普及示范称号。编辑印制了社科普及读物《葫芦丝—传统与现代文化的结合》，为人民群众提供了一本方便实用以及了解葫芦丝发展史的科普书籍。</w:t>
      </w:r>
    </w:p>
    <w:p>
      <w:pPr>
        <w:adjustRightInd/>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（5）加强市级社科普及示范基地建设，组织开展云南省社会科学普及示范基地申报工作，经省社科联评选，“昆明国家广告产业园”及“欧普康视眼健康科普基地”被评为云南省社会科学普及示范基地。</w:t>
      </w:r>
      <w:r>
        <w:rPr>
          <w:rFonts w:hint="eastAsia" w:eastAsia="仿宋_GB2312" w:cs="Times New Roman"/>
          <w:sz w:val="28"/>
          <w:szCs w:val="28"/>
          <w:lang w:val="en-US" w:eastAsia="zh-CN"/>
        </w:rPr>
        <w:t>一</w:t>
      </w:r>
      <w:r>
        <w:rPr>
          <w:rFonts w:hint="default" w:ascii="Times New Roman" w:hAnsi="Times New Roman" w:eastAsia="仿宋_GB2312" w:cs="Times New Roman"/>
          <w:sz w:val="28"/>
          <w:szCs w:val="28"/>
          <w:lang w:val="en-US" w:eastAsia="zh-CN"/>
        </w:rPr>
        <w:t>是积极推进“一州市一品牌”社科普及项目。成功申报“一州市一品牌”昆明社科融媒体精品宣传节目社科普及项目“滇池流域生态文化与生态文明宣传普及”项目，争取省级项目资金支持，打造具有昆明特色、地方特点的社科普及工作品牌。目前已完成2期以滇池流域的生态文化与生态文明为主题的科普宣传短片，旨在通过新媒体，把社科普及送到群众“掌心里”、让传统的普及从“指尖”走向群众“心尖”，切实打通社科宣传工作服务群众“最后一公里”，为提升公众的生态文明素养、推动滇池流域的可持续发展迈出了坚实步伐。</w:t>
      </w:r>
      <w:r>
        <w:rPr>
          <w:rFonts w:hint="eastAsia"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是演绎社科新韵，荣誉实证能力。历经两个半月激烈角逐，第三届省区市社科普及基地解说员大赛在昆明圆满落幕。此次大赛由全国各省区市社科联携手主办，云南省社科联承办，并得到市委宣传部、市社科联及市融媒体中心的大力支持。来自全国各地93名讲解员齐聚一堂，以生动叙述展现中华文化的创新传承。在云南选拔赛中，昆明市社科联荣获优秀组织奖，选手表现优异，分别斩获二等奖与优秀奖，充分展现了团队的非凡实力与专业风采。</w:t>
      </w:r>
      <w:r>
        <w:rPr>
          <w:rFonts w:hint="eastAsia"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是创新科普工作方式。及时更新社科联官方网站“科普工作”板块信息，增加科普知识宣传内容29条。</w:t>
      </w:r>
      <w:r>
        <w:rPr>
          <w:rFonts w:hint="eastAsia" w:eastAsia="仿宋_GB2312" w:cs="Times New Roman"/>
          <w:sz w:val="28"/>
          <w:szCs w:val="28"/>
          <w:lang w:val="en-US" w:eastAsia="zh-CN"/>
        </w:rPr>
        <w:t>四</w:t>
      </w:r>
      <w:bookmarkStart w:id="54" w:name="_GoBack"/>
      <w:bookmarkEnd w:id="54"/>
      <w:r>
        <w:rPr>
          <w:rFonts w:hint="default" w:ascii="Times New Roman" w:hAnsi="Times New Roman" w:eastAsia="仿宋_GB2312" w:cs="Times New Roman"/>
          <w:sz w:val="28"/>
          <w:szCs w:val="28"/>
          <w:lang w:val="en-US" w:eastAsia="zh-CN"/>
        </w:rPr>
        <w:t>是利用好“昆明市社会科学普及工作联席会议制度”搭建的平台，逐步形成全市社科研究部门和团体的协作机制，发挥龙头优势和整体优势，注重整合社科界的力量，优化资源配置，逐步建立起一支适应跨学科研究需要、善于多部门多学科协同作战的应用对策研究队伍。</w:t>
      </w:r>
    </w:p>
    <w:p>
      <w:pPr>
        <w:adjustRightInd/>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val="en-US" w:eastAsia="zh-CN"/>
        </w:rPr>
        <w:t>）积极推进学会规范化建设，强化制度管理。坚持和落实学会年检管理制度、学会活动报备制度、学会联系制度；加强对学会、研究会、协会开展学术活动的指导和服务，确保正确的政治方向、舆论导向和价值取向。同时督促市级社科社会组织按规定和程序开展换届工作，推动市级社科社会组织规范管理，提升市级社科社会组织的生命力和凝聚力。完成28家社科社会组织线下年检，预审昆明民族文化促进会、昆明郑和研究会、昆明中共党史学会和昆明旗袍协会等学会换届材料,受理昆明东方文化艺术交流协会延期换届申请，批复同意昆明实用心理学及智业发展研究会和昆明城市法治研究会注销申请。</w:t>
      </w:r>
    </w:p>
    <w:p>
      <w:pPr>
        <w:adjustRightInd/>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val="en-US" w:eastAsia="zh-CN"/>
        </w:rPr>
        <w:t>）搭建交流平台。聚焦服务昆明强省会战略，2024年先后举办“昆明市社科界学习贯彻党的二十届三中全会精神研讨会”“纪念云南陆军讲武堂援助黄埔军校建校座谈会”等系列学术活动12场，为昆明高质量发展凝心聚力、建言献策。</w:t>
      </w:r>
    </w:p>
    <w:p>
      <w:pPr>
        <w:adjustRightInd/>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lang w:val="en-US" w:eastAsia="zh-CN"/>
        </w:rPr>
        <w:t>）围绕加强学会规范化管理开展完成秘书长培训以及配合民政推进完成年度社科社会组织年检和社会组织财务状况随机抽查检查工作，并做好社会组织日常服务工作。</w:t>
      </w:r>
    </w:p>
    <w:p>
      <w:pPr>
        <w:adjustRightInd/>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zh-CN"/>
        </w:rPr>
        <w:t>社会效益指标：围绕服务保障，认真落实党中央和省委、市委的各项决策部署，坚决做到“两个维护”，认真践行“五个坚持”，高效发挥智库的职能作用，为确保市社科联工作高效有序运转。</w:t>
      </w:r>
    </w:p>
    <w:p>
      <w:pPr>
        <w:adjustRightInd/>
        <w:ind w:firstLine="560" w:firstLineChars="200"/>
        <w:rPr>
          <w:rFonts w:hint="default" w:ascii="Times New Roman" w:hAnsi="Times New Roman" w:eastAsia="仿宋_GB2312" w:cs="Times New Roman"/>
          <w:sz w:val="28"/>
          <w:szCs w:val="28"/>
          <w:lang w:val="en"/>
        </w:rPr>
      </w:pPr>
      <w:r>
        <w:rPr>
          <w:rFonts w:hint="default" w:ascii="Times New Roman" w:hAnsi="Times New Roman" w:eastAsia="仿宋_GB2312" w:cs="Times New Roman"/>
          <w:sz w:val="28"/>
          <w:szCs w:val="28"/>
          <w:lang w:val="zh-CN"/>
        </w:rPr>
        <w:t>3.生态效益指标：开展无纸化办公，节能减排。</w:t>
      </w:r>
    </w:p>
    <w:p>
      <w:pPr>
        <w:adjustRightInd/>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4.满意度指标：上级部门、读者对服务工作满意度90%以上。</w:t>
      </w:r>
    </w:p>
    <w:p>
      <w:pPr>
        <w:ind w:firstLine="560" w:firstLineChars="200"/>
        <w:outlineLvl w:val="0"/>
        <w:rPr>
          <w:rFonts w:hint="default" w:ascii="Times New Roman" w:hAnsi="Times New Roman" w:eastAsia="楷体_GB2312" w:cs="Times New Roman"/>
          <w:color w:val="auto"/>
          <w:sz w:val="28"/>
          <w:szCs w:val="28"/>
          <w:lang w:eastAsia="zh-CN"/>
        </w:rPr>
      </w:pPr>
      <w:bookmarkStart w:id="16" w:name="_Toc348990162"/>
      <w:r>
        <w:rPr>
          <w:rFonts w:hint="default" w:ascii="Times New Roman" w:hAnsi="Times New Roman" w:eastAsia="楷体_GB2312" w:cs="Times New Roman"/>
          <w:color w:val="auto"/>
          <w:sz w:val="28"/>
          <w:szCs w:val="28"/>
        </w:rPr>
        <w:t>（二）部门项目具体计划目标</w:t>
      </w:r>
      <w:r>
        <w:rPr>
          <w:rFonts w:hint="default" w:ascii="Times New Roman" w:hAnsi="Times New Roman" w:eastAsia="楷体_GB2312" w:cs="Times New Roman"/>
          <w:color w:val="auto"/>
          <w:sz w:val="28"/>
          <w:szCs w:val="28"/>
          <w:lang w:eastAsia="zh-CN"/>
        </w:rPr>
        <w:t>分析</w:t>
      </w:r>
      <w:bookmarkEnd w:id="16"/>
    </w:p>
    <w:p>
      <w:pPr>
        <w:ind w:firstLine="560" w:firstLineChars="200"/>
        <w:outlineLvl w:val="0"/>
        <w:rPr>
          <w:rFonts w:hint="default" w:ascii="Times New Roman" w:hAnsi="Times New Roman" w:eastAsia="楷体_GB2312" w:cs="Times New Roman"/>
          <w:color w:val="auto"/>
          <w:sz w:val="28"/>
          <w:szCs w:val="28"/>
        </w:rPr>
      </w:pPr>
      <w:bookmarkStart w:id="17" w:name="_Toc633642516"/>
      <w:bookmarkStart w:id="18" w:name="_Toc40531983"/>
      <w:bookmarkStart w:id="19" w:name="_Toc103174012"/>
      <w:bookmarkStart w:id="20" w:name="_Toc68190376"/>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楷体_GB2312" w:cs="Times New Roman"/>
          <w:color w:val="auto"/>
          <w:sz w:val="28"/>
          <w:szCs w:val="28"/>
        </w:rPr>
        <w:t>目标明确性分析</w:t>
      </w:r>
      <w:bookmarkEnd w:id="17"/>
      <w:bookmarkEnd w:id="18"/>
      <w:bookmarkEnd w:id="19"/>
      <w:bookmarkEnd w:id="20"/>
    </w:p>
    <w:p>
      <w:pPr>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从202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年度</w:t>
      </w:r>
      <w:r>
        <w:rPr>
          <w:rFonts w:hint="default" w:ascii="Times New Roman" w:hAnsi="Times New Roman" w:eastAsia="仿宋_GB2312" w:cs="Times New Roman"/>
          <w:color w:val="auto"/>
          <w:sz w:val="28"/>
          <w:szCs w:val="28"/>
          <w:lang w:eastAsia="zh-CN"/>
        </w:rPr>
        <w:t>市社科联</w:t>
      </w:r>
      <w:r>
        <w:rPr>
          <w:rFonts w:hint="default" w:ascii="Times New Roman" w:hAnsi="Times New Roman" w:eastAsia="仿宋_GB2312" w:cs="Times New Roman"/>
          <w:color w:val="auto"/>
          <w:sz w:val="28"/>
          <w:szCs w:val="28"/>
        </w:rPr>
        <w:t>整体绩效目标来看，基本涵盖了</w:t>
      </w:r>
      <w:r>
        <w:rPr>
          <w:rFonts w:hint="default" w:ascii="Times New Roman" w:hAnsi="Times New Roman" w:eastAsia="仿宋_GB2312" w:cs="Times New Roman"/>
          <w:color w:val="auto"/>
          <w:sz w:val="28"/>
          <w:szCs w:val="28"/>
          <w:lang w:eastAsia="zh-CN"/>
        </w:rPr>
        <w:t>市社科联</w:t>
      </w:r>
      <w:r>
        <w:rPr>
          <w:rFonts w:hint="default" w:ascii="Times New Roman" w:hAnsi="Times New Roman" w:eastAsia="仿宋_GB2312" w:cs="Times New Roman"/>
          <w:color w:val="auto"/>
          <w:sz w:val="28"/>
          <w:szCs w:val="28"/>
        </w:rPr>
        <w:t>的工作职责，绩效目标分解、定性较为明确，社会效益指标、满意度指标均进行了量化设置。</w:t>
      </w:r>
    </w:p>
    <w:p>
      <w:pPr>
        <w:ind w:firstLine="560" w:firstLineChars="200"/>
        <w:outlineLvl w:val="0"/>
        <w:rPr>
          <w:rFonts w:hint="default" w:ascii="Times New Roman" w:hAnsi="Times New Roman" w:eastAsia="楷体_GB2312" w:cs="Times New Roman"/>
          <w:color w:val="auto"/>
          <w:sz w:val="28"/>
          <w:szCs w:val="28"/>
        </w:rPr>
      </w:pPr>
      <w:bookmarkStart w:id="21" w:name="_Toc40531984"/>
      <w:bookmarkStart w:id="22" w:name="_Toc68190377"/>
      <w:bookmarkStart w:id="23" w:name="_Toc1835996896"/>
      <w:bookmarkStart w:id="24" w:name="_Toc103174013"/>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楷体_GB2312" w:cs="Times New Roman"/>
          <w:color w:val="auto"/>
          <w:sz w:val="28"/>
          <w:szCs w:val="28"/>
        </w:rPr>
        <w:t>目标合理性分析</w:t>
      </w:r>
      <w:bookmarkEnd w:id="21"/>
      <w:bookmarkEnd w:id="22"/>
      <w:bookmarkEnd w:id="23"/>
      <w:bookmarkEnd w:id="24"/>
    </w:p>
    <w:p>
      <w:pPr>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绩效目标中数量涵盖了</w:t>
      </w:r>
      <w:r>
        <w:rPr>
          <w:rFonts w:hint="default" w:ascii="Times New Roman" w:hAnsi="Times New Roman" w:eastAsia="仿宋_GB2312" w:cs="Times New Roman"/>
          <w:color w:val="auto"/>
          <w:sz w:val="28"/>
          <w:szCs w:val="28"/>
          <w:lang w:eastAsia="zh-CN"/>
        </w:rPr>
        <w:t>市社科联</w:t>
      </w:r>
      <w:r>
        <w:rPr>
          <w:rFonts w:hint="default" w:ascii="Times New Roman" w:hAnsi="Times New Roman" w:eastAsia="仿宋_GB2312" w:cs="Times New Roman"/>
          <w:color w:val="auto"/>
          <w:sz w:val="28"/>
          <w:szCs w:val="28"/>
        </w:rPr>
        <w:t>绝大部分职责，指标设置较为合理，能对应指标值进行跟踪及考核。</w:t>
      </w:r>
    </w:p>
    <w:p>
      <w:pPr>
        <w:ind w:firstLine="560" w:firstLineChars="200"/>
        <w:outlineLvl w:val="0"/>
        <w:rPr>
          <w:rFonts w:hint="default" w:ascii="Times New Roman" w:hAnsi="Times New Roman" w:eastAsia="楷体_GB2312" w:cs="Times New Roman"/>
          <w:color w:val="auto"/>
          <w:sz w:val="28"/>
          <w:szCs w:val="28"/>
        </w:rPr>
      </w:pPr>
      <w:bookmarkStart w:id="25" w:name="_Toc91841855"/>
      <w:bookmarkStart w:id="26" w:name="_Toc40531985"/>
      <w:bookmarkStart w:id="27" w:name="_Toc103174014"/>
      <w:bookmarkStart w:id="28" w:name="_Toc68190378"/>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楷体_GB2312" w:cs="Times New Roman"/>
          <w:color w:val="auto"/>
          <w:sz w:val="28"/>
          <w:szCs w:val="28"/>
        </w:rPr>
        <w:t>目标细化、量化程度分析</w:t>
      </w:r>
      <w:bookmarkEnd w:id="25"/>
      <w:bookmarkEnd w:id="26"/>
      <w:bookmarkEnd w:id="27"/>
      <w:bookmarkEnd w:id="28"/>
    </w:p>
    <w:p>
      <w:pPr>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绩效目标已按部门职责进行了细化、分解，所有指标均作了量化设计。</w:t>
      </w:r>
    </w:p>
    <w:p>
      <w:pPr>
        <w:widowControl w:val="0"/>
        <w:overflowPunct/>
        <w:ind w:firstLine="560" w:firstLineChars="200"/>
        <w:outlineLvl w:val="0"/>
        <w:rPr>
          <w:rFonts w:hint="default" w:ascii="Times New Roman" w:hAnsi="Times New Roman" w:eastAsia="黑体" w:cs="Times New Roman"/>
          <w:kern w:val="44"/>
          <w:sz w:val="28"/>
          <w:szCs w:val="28"/>
          <w:lang w:val="zh-CN"/>
        </w:rPr>
      </w:pPr>
      <w:bookmarkStart w:id="29" w:name="_Toc1887906317"/>
      <w:r>
        <w:rPr>
          <w:rFonts w:hint="default" w:ascii="Times New Roman" w:hAnsi="Times New Roman" w:eastAsia="黑体" w:cs="Times New Roman"/>
          <w:kern w:val="44"/>
          <w:sz w:val="28"/>
          <w:szCs w:val="28"/>
          <w:lang w:val="zh-CN"/>
        </w:rPr>
        <w:t>三、评价思路和过程</w:t>
      </w:r>
      <w:bookmarkEnd w:id="29"/>
    </w:p>
    <w:p>
      <w:pPr>
        <w:ind w:firstLine="560" w:firstLineChars="200"/>
        <w:outlineLvl w:val="0"/>
        <w:rPr>
          <w:rFonts w:hint="default" w:ascii="Times New Roman" w:hAnsi="Times New Roman" w:eastAsia="楷体_GB2312" w:cs="Times New Roman"/>
          <w:sz w:val="28"/>
          <w:szCs w:val="28"/>
        </w:rPr>
      </w:pPr>
      <w:bookmarkStart w:id="30" w:name="_Toc1589024041"/>
      <w:r>
        <w:rPr>
          <w:rFonts w:hint="default" w:ascii="Times New Roman" w:hAnsi="Times New Roman" w:eastAsia="楷体_GB2312" w:cs="Times New Roman"/>
          <w:sz w:val="28"/>
          <w:szCs w:val="28"/>
        </w:rPr>
        <w:t>（一）评价思路</w:t>
      </w:r>
      <w:bookmarkEnd w:id="30"/>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绩效评价思路按以下几个方面进行：一是确认202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年度部门整体支出的绩效目标，二是梳理部门内容管理制度及存量资源、资产，202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年度主要工作及产出情况摸底，三是分析确定202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年度部门整体支出的评价重点，如重点项目产出情况、三公支出控制情况、对经济和社会的贡献情况等，四是构建绩效评价指标体系，设置三级评价指标体系并赋予相应的权重。</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1、评价指标体系制定遵循的原则</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财政部项目支出绩效评价管理办法》（财预〔2020〕10号）、《云南省项目支出绩效评价管理办法》（云财绩〔2020〕11号）、《昆明市本级部门预算绩效自评管理暂行办法》（昆财绩〔2018〕60号），本次评价指标体系制定遵循相关性原则、重要性原则、可比性原则、经济性原则和系统性原则。</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2、评价指标体系</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本次</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部门整体支出绩效评价，设立三级评价指标体系，具体构成如下：</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一级指标由部门决策（占35%）、部门管理（占20%）、部门绩效（占45%）等3项构成，满分100分。</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3、评价方法</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采用《财政部项目支出绩效评价管理办法》（财预〔2020〕10号）、《云南省项目支出绩效评价管理办法》（云财绩〔2020〕11号）、《昆明市本级部门预算绩效自评管理暂行办法》（昆财绩〔2018〕60号）所确定的绩效评价方法，在实施过程中，根据</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部门整体预算执行情况，主要采用比较法、因素分析法和公众评判法等，了解在资金使用管理、项目组织实施、项目监控、制度流程建设、项目产出效果以及产生的社会、经济、环境效益、可持续发展、公众满意度等情况，对整体支出进行绩效评价。</w:t>
      </w:r>
    </w:p>
    <w:p>
      <w:pPr>
        <w:ind w:firstLine="560" w:firstLineChars="200"/>
        <w:outlineLvl w:val="0"/>
        <w:rPr>
          <w:rFonts w:hint="default" w:ascii="Times New Roman" w:hAnsi="Times New Roman" w:eastAsia="楷体_GB2312" w:cs="Times New Roman"/>
          <w:sz w:val="28"/>
          <w:szCs w:val="28"/>
        </w:rPr>
      </w:pPr>
      <w:bookmarkStart w:id="31" w:name="_Toc1517089720"/>
      <w:r>
        <w:rPr>
          <w:rFonts w:hint="default" w:ascii="Times New Roman" w:hAnsi="Times New Roman" w:eastAsia="楷体_GB2312" w:cs="Times New Roman"/>
          <w:sz w:val="28"/>
          <w:szCs w:val="28"/>
        </w:rPr>
        <w:t>（二）评价目的</w:t>
      </w:r>
      <w:bookmarkEnd w:id="31"/>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通过绩效评价，收集部门（单位）基本情况、预算制定与明细、部门中长期规划目标及组织架构等信息，掌握202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度市委办公室财政资金支出的年度绩效目标设定、工作进展、执行过程监督、财政资金到位、使用、管理及结余情况、财务及项目管理的制度建设、执行情况以及取得的成效，分析部门（单位）资源配置的合理性及中长期规划目标完成与履职情况，总结经验，找准问题，提出今后工作改进的意见和建议，不断提高财政资金使用效率和效益，为</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更好地履行部门职责、依法行政提供决策依据。</w:t>
      </w:r>
    </w:p>
    <w:p>
      <w:pPr>
        <w:ind w:firstLine="560" w:firstLineChars="200"/>
        <w:outlineLvl w:val="0"/>
        <w:rPr>
          <w:rFonts w:hint="default" w:ascii="Times New Roman" w:hAnsi="Times New Roman" w:eastAsia="楷体_GB2312" w:cs="Times New Roman"/>
          <w:sz w:val="28"/>
          <w:szCs w:val="28"/>
        </w:rPr>
      </w:pPr>
      <w:bookmarkStart w:id="32" w:name="_Toc84833570"/>
      <w:r>
        <w:rPr>
          <w:rFonts w:hint="default" w:ascii="Times New Roman" w:hAnsi="Times New Roman" w:eastAsia="楷体_GB2312" w:cs="Times New Roman"/>
          <w:sz w:val="28"/>
          <w:szCs w:val="28"/>
        </w:rPr>
        <w:t>（三）评价依据</w:t>
      </w:r>
      <w:bookmarkEnd w:id="32"/>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1、《中华人民共和国预算法》；</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2、《中华人民共和国政府采购法》；</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3、《中共中央 国务院关于全面实施预算绩效管理的意见》（中发〔2018〕34号）；</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4、财政部关于印发《项目支出绩效评价管理办法》的通知（财预〔2020〕10号）；</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5、《中共云南省委 云南省人民政府关于全面实施预算绩效管理的实施意见》（云发〔2019〕11号）；</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6、《云南省项目支出绩效评价管理办法》（云财绩〔2020〕11号）</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7、《中共昆明市委 昆明市人民政府关于全面实施预算绩效管理的实施意见》（昆发〔2019〕12号）；</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8、《昆明市本级部门预算绩效自评管理暂行办法》（昆财绩〔2018〕60号）；</w:t>
      </w:r>
    </w:p>
    <w:p>
      <w:pPr>
        <w:ind w:firstLine="560" w:firstLineChars="200"/>
        <w:outlineLvl w:val="0"/>
        <w:rPr>
          <w:rFonts w:hint="default" w:ascii="Times New Roman" w:hAnsi="Times New Roman" w:eastAsia="楷体_GB2312" w:cs="Times New Roman"/>
          <w:sz w:val="28"/>
          <w:szCs w:val="28"/>
        </w:rPr>
      </w:pPr>
      <w:bookmarkStart w:id="33" w:name="_Toc151972303"/>
      <w:r>
        <w:rPr>
          <w:rFonts w:hint="default" w:ascii="Times New Roman" w:hAnsi="Times New Roman" w:eastAsia="楷体_GB2312" w:cs="Times New Roman"/>
          <w:sz w:val="28"/>
          <w:szCs w:val="28"/>
        </w:rPr>
        <w:t>（四）评价对象及评价时段</w:t>
      </w:r>
      <w:bookmarkEnd w:id="33"/>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1、评价对象</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年度</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部门整体支出、重点项目支出。</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2、评价时段</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前期准备：根据昆财绩〔2018〕60号文件要求，明确绩效评价工作的目的、对象、范围、工作步骤和相关要求。在此基础上，对有关工作要求、时间安排和人员调配等作了部署。开展各项目实施部门自评，编制资料清单、信息调查表、调查问卷，在了解</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整体支出及各主要项目支出的基础上讨论、制定并完善</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部门整体支出绩效评价指标体系。</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（2）组织实施：为使绩效评价工作顺利开展，市委办公室成立绩效评价工作领导小组，由</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办公室主任任组长，各相关处室负责人参与，负责绩效评价的组织、监督和实施工作。</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（3）分析评价：202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日至</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月20日，对</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部门整体支出的基本资料进行核实、分析，对重点项目进行了复查和现场核实，发放绩效问卷，利用访谈法、现场查验法、数据统计法、成本效益分析法开展具体绩效分析工作，运用相关绩效评价方法对绩效完成情况进行综合分析、打分，最后形成评价结论。</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整理底稿、报告报送：对前三个阶段涉及到统计资料、问卷调查表、制度文件以及其他与项目相关的业务、财务资料连同最后的绩效评价报告进行整理，对外报送及公开，针对绩效评价中发现的问题，要求相关部门进行整改，财务处负责整改落实与监督。</w:t>
      </w:r>
    </w:p>
    <w:p>
      <w:pPr>
        <w:widowControl w:val="0"/>
        <w:overflowPunct/>
        <w:ind w:firstLine="560" w:firstLineChars="200"/>
        <w:outlineLvl w:val="0"/>
        <w:rPr>
          <w:rFonts w:hint="default" w:ascii="Times New Roman" w:hAnsi="Times New Roman" w:eastAsia="黑体" w:cs="Times New Roman"/>
          <w:kern w:val="44"/>
          <w:sz w:val="28"/>
          <w:szCs w:val="28"/>
          <w:lang w:val="zh-CN"/>
        </w:rPr>
      </w:pPr>
      <w:bookmarkStart w:id="34" w:name="_Toc1534444231"/>
      <w:r>
        <w:rPr>
          <w:rFonts w:hint="default" w:ascii="Times New Roman" w:hAnsi="Times New Roman" w:eastAsia="黑体" w:cs="Times New Roman"/>
          <w:kern w:val="44"/>
          <w:sz w:val="28"/>
          <w:szCs w:val="28"/>
          <w:lang w:val="zh-CN"/>
        </w:rPr>
        <w:t>四、评价结论和主要绩效</w:t>
      </w:r>
      <w:bookmarkEnd w:id="34"/>
    </w:p>
    <w:p>
      <w:pPr>
        <w:ind w:firstLine="560" w:firstLineChars="200"/>
        <w:outlineLvl w:val="0"/>
        <w:rPr>
          <w:rFonts w:hint="default" w:ascii="Times New Roman" w:hAnsi="Times New Roman" w:eastAsia="仿宋_GB2312" w:cs="Times New Roman"/>
          <w:sz w:val="28"/>
          <w:szCs w:val="28"/>
        </w:rPr>
      </w:pPr>
      <w:bookmarkStart w:id="35" w:name="_Toc467481762"/>
      <w:r>
        <w:rPr>
          <w:rFonts w:hint="default" w:ascii="Times New Roman" w:hAnsi="Times New Roman" w:eastAsia="楷体_GB2312" w:cs="Times New Roman"/>
          <w:sz w:val="28"/>
          <w:szCs w:val="28"/>
        </w:rPr>
        <w:t>（一）评价结果</w:t>
      </w:r>
      <w:bookmarkEnd w:id="35"/>
    </w:p>
    <w:p>
      <w:pPr>
        <w:ind w:firstLine="560" w:firstLineChars="200"/>
        <w:rPr>
          <w:rFonts w:hint="default" w:ascii="Times New Roman" w:hAnsi="Times New Roman" w:eastAsia="仿宋_GB2312" w:cs="Times New Roman"/>
          <w:sz w:val="28"/>
          <w:szCs w:val="28"/>
        </w:rPr>
      </w:pPr>
      <w:bookmarkStart w:id="36" w:name="_Hlk514320632"/>
      <w:r>
        <w:rPr>
          <w:rFonts w:hint="default" w:ascii="Times New Roman" w:hAnsi="Times New Roman" w:eastAsia="仿宋_GB2312" w:cs="Times New Roman"/>
          <w:sz w:val="28"/>
          <w:szCs w:val="28"/>
        </w:rPr>
        <w:t>通过对</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年度部门整体支出决策、管理、绩效三个方面的指标进行评价、打分，最终自评得分99.1分，评定等级为优。</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经对</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年整体支出的绩效目标设定、资金到位、资金管理、资产管理、财务管理、各项目产出、经济效益、社会效益、环境效益等方面等进行绩效评价，</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在</w:t>
      </w:r>
      <w:r>
        <w:rPr>
          <w:rFonts w:hint="default" w:ascii="Times New Roman" w:hAnsi="Times New Roman" w:eastAsia="仿宋_GB2312" w:cs="Times New Roman"/>
          <w:sz w:val="28"/>
          <w:szCs w:val="28"/>
          <w:lang w:val="en-US" w:eastAsia="zh-CN"/>
        </w:rPr>
        <w:t>大力繁荣发展哲学社会科学事业，推动哲学社会科学工作服务市委、市政府中心的智囊团作用</w:t>
      </w:r>
      <w:r>
        <w:rPr>
          <w:rFonts w:hint="default" w:ascii="Times New Roman" w:hAnsi="Times New Roman" w:eastAsia="仿宋_GB2312" w:cs="Times New Roman"/>
          <w:sz w:val="28"/>
          <w:szCs w:val="28"/>
        </w:rPr>
        <w:t>等方面均达到年初制定的计划目标。</w:t>
      </w:r>
      <w:bookmarkEnd w:id="36"/>
    </w:p>
    <w:p>
      <w:pPr>
        <w:ind w:firstLine="560" w:firstLineChars="200"/>
        <w:outlineLvl w:val="0"/>
        <w:rPr>
          <w:rFonts w:hint="default" w:ascii="Times New Roman" w:hAnsi="Times New Roman" w:eastAsia="楷体_GB2312" w:cs="Times New Roman"/>
          <w:sz w:val="28"/>
          <w:szCs w:val="28"/>
        </w:rPr>
      </w:pPr>
      <w:bookmarkStart w:id="37" w:name="_Toc1761784979"/>
      <w:r>
        <w:rPr>
          <w:rFonts w:hint="default" w:ascii="Times New Roman" w:hAnsi="Times New Roman" w:eastAsia="楷体_GB2312" w:cs="Times New Roman"/>
          <w:sz w:val="28"/>
          <w:szCs w:val="28"/>
          <w:lang w:eastAsia="zh-CN"/>
        </w:rPr>
        <w:t>（二）</w:t>
      </w:r>
      <w:r>
        <w:rPr>
          <w:rFonts w:hint="default" w:ascii="Times New Roman" w:hAnsi="Times New Roman" w:eastAsia="楷体_GB2312" w:cs="Times New Roman"/>
          <w:sz w:val="28"/>
          <w:szCs w:val="28"/>
        </w:rPr>
        <w:t>主要绩效</w:t>
      </w:r>
      <w:bookmarkEnd w:id="37"/>
    </w:p>
    <w:p>
      <w:pPr>
        <w:ind w:firstLine="56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eastAsia="zh-CN"/>
        </w:rPr>
        <w:t>，在市委、市政府的坚强领导下，在省社科联和市委宣传部的指导帮助下，市社科联坚持以习近平新时代中国特色社会主义思想为指引，深入学习贯彻</w:t>
      </w:r>
      <w:r>
        <w:rPr>
          <w:rFonts w:hint="default" w:ascii="Times New Roman" w:hAnsi="Times New Roman" w:eastAsia="仿宋_GB2312" w:cs="Times New Roman"/>
          <w:sz w:val="28"/>
          <w:szCs w:val="28"/>
          <w:lang w:val="en-US" w:eastAsia="zh-CN"/>
        </w:rPr>
        <w:t>党的</w:t>
      </w:r>
      <w:r>
        <w:rPr>
          <w:rFonts w:hint="eastAsia" w:ascii="Times New Roman" w:hAnsi="Times New Roman" w:eastAsia="仿宋_GB2312" w:cs="Times New Roman"/>
          <w:sz w:val="28"/>
          <w:szCs w:val="28"/>
          <w:lang w:val="en-US" w:eastAsia="zh-CN"/>
        </w:rPr>
        <w:t>二十大、</w:t>
      </w:r>
      <w:r>
        <w:rPr>
          <w:rFonts w:hint="default" w:ascii="Times New Roman" w:hAnsi="Times New Roman" w:eastAsia="仿宋_GB2312" w:cs="Times New Roman"/>
          <w:sz w:val="28"/>
          <w:szCs w:val="28"/>
          <w:lang w:val="en-US" w:eastAsia="zh-CN"/>
        </w:rPr>
        <w:t>二十届</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中全会精神</w:t>
      </w:r>
      <w:r>
        <w:rPr>
          <w:rFonts w:hint="default" w:ascii="Times New Roman" w:hAnsi="Times New Roman" w:eastAsia="仿宋_GB2312" w:cs="Times New Roman"/>
          <w:sz w:val="28"/>
          <w:szCs w:val="28"/>
          <w:lang w:eastAsia="zh-CN"/>
        </w:rPr>
        <w:t>和习近平总书记考察云南重要讲话精神，深入践行新时代党的建设总要求和新时代党的哲学社会科学指示要求，</w:t>
      </w:r>
      <w:r>
        <w:rPr>
          <w:rFonts w:hint="eastAsia" w:ascii="Times New Roman" w:hAnsi="Times New Roman" w:eastAsia="仿宋_GB2312" w:cs="Times New Roman"/>
          <w:sz w:val="28"/>
          <w:szCs w:val="28"/>
        </w:rPr>
        <w:t>团结</w:t>
      </w:r>
      <w:r>
        <w:rPr>
          <w:rFonts w:hint="eastAsia" w:ascii="Times New Roman" w:hAnsi="Times New Roman" w:eastAsia="仿宋_GB2312" w:cs="Times New Roman"/>
          <w:sz w:val="28"/>
          <w:szCs w:val="28"/>
          <w:lang w:eastAsia="zh-CN"/>
        </w:rPr>
        <w:t>凝聚</w:t>
      </w:r>
      <w:r>
        <w:rPr>
          <w:rFonts w:hint="eastAsia" w:ascii="Times New Roman" w:hAnsi="Times New Roman" w:eastAsia="仿宋_GB2312" w:cs="Times New Roman"/>
          <w:sz w:val="28"/>
          <w:szCs w:val="28"/>
        </w:rPr>
        <w:t>全市社科工作者，</w:t>
      </w:r>
      <w:r>
        <w:rPr>
          <w:rFonts w:hint="eastAsia" w:ascii="Times New Roman" w:hAnsi="Times New Roman" w:eastAsia="仿宋_GB2312" w:cs="Times New Roman"/>
          <w:sz w:val="28"/>
          <w:szCs w:val="28"/>
          <w:lang w:eastAsia="zh-CN"/>
        </w:rPr>
        <w:t>积极融入、主动服务</w:t>
      </w:r>
      <w:r>
        <w:rPr>
          <w:rFonts w:hint="default" w:ascii="Times New Roman" w:hAnsi="Times New Roman" w:eastAsia="仿宋_GB2312" w:cs="Times New Roman"/>
          <w:sz w:val="28"/>
          <w:szCs w:val="28"/>
          <w:lang w:eastAsia="zh-CN"/>
        </w:rPr>
        <w:t>省委“3815”战略发展目标和市委打造“六个春城”的发展思路，</w:t>
      </w:r>
      <w:r>
        <w:rPr>
          <w:rFonts w:hint="eastAsia" w:ascii="Times New Roman" w:hAnsi="Times New Roman" w:eastAsia="仿宋_GB2312" w:cs="Times New Roman"/>
          <w:sz w:val="28"/>
          <w:szCs w:val="28"/>
          <w:lang w:eastAsia="zh-CN"/>
        </w:rPr>
        <w:t>持续深化思想引领、理论阐释、学术研讨、学会建设、社科普及、成果转化、机关建设等工作，</w:t>
      </w:r>
      <w:r>
        <w:rPr>
          <w:rFonts w:hint="default" w:ascii="Times New Roman" w:hAnsi="Times New Roman" w:eastAsia="仿宋_GB2312" w:cs="Times New Roman"/>
          <w:sz w:val="28"/>
          <w:szCs w:val="28"/>
          <w:lang w:val="en-US" w:eastAsia="zh-CN"/>
        </w:rPr>
        <w:t>全力推动全市社科工作守正创新发展，为“六个春城”建设贡献社科力量。</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具体见本报告第一章（三）部门202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年工作完成情况。</w:t>
      </w:r>
    </w:p>
    <w:p>
      <w:pPr>
        <w:widowControl w:val="0"/>
        <w:overflowPunct/>
        <w:ind w:firstLine="560" w:firstLineChars="200"/>
        <w:outlineLvl w:val="0"/>
        <w:rPr>
          <w:rFonts w:hint="default" w:ascii="Times New Roman" w:hAnsi="Times New Roman" w:eastAsia="黑体" w:cs="Times New Roman"/>
          <w:kern w:val="44"/>
          <w:sz w:val="28"/>
          <w:szCs w:val="28"/>
          <w:lang w:val="zh-CN"/>
        </w:rPr>
      </w:pPr>
      <w:bookmarkStart w:id="38" w:name="_Toc1053649099"/>
      <w:r>
        <w:rPr>
          <w:rFonts w:hint="default" w:ascii="Times New Roman" w:hAnsi="Times New Roman" w:eastAsia="黑体" w:cs="Times New Roman"/>
          <w:kern w:val="44"/>
          <w:sz w:val="28"/>
          <w:szCs w:val="28"/>
          <w:lang w:val="zh-CN"/>
        </w:rPr>
        <w:t>五、主要经验</w:t>
      </w:r>
      <w:bookmarkEnd w:id="38"/>
    </w:p>
    <w:p>
      <w:pPr>
        <w:ind w:firstLine="560" w:firstLineChars="200"/>
        <w:outlineLvl w:val="0"/>
        <w:rPr>
          <w:rFonts w:hint="default" w:ascii="Times New Roman" w:hAnsi="Times New Roman" w:eastAsia="楷体_GB2312" w:cs="Times New Roman"/>
          <w:sz w:val="28"/>
          <w:szCs w:val="28"/>
        </w:rPr>
      </w:pPr>
      <w:bookmarkStart w:id="39" w:name="_Toc1998736347"/>
      <w:bookmarkStart w:id="40" w:name="_Hlk514320693"/>
      <w:r>
        <w:rPr>
          <w:rFonts w:hint="default" w:ascii="Times New Roman" w:hAnsi="Times New Roman" w:eastAsia="楷体_GB2312" w:cs="Times New Roman"/>
          <w:sz w:val="28"/>
          <w:szCs w:val="28"/>
        </w:rPr>
        <w:t>（一）成立专门的预算绩效评价小组</w:t>
      </w:r>
      <w:bookmarkEnd w:id="39"/>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全面预算绩效管理，是</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深入学习贯彻习近平新时代中国特色社会主义思想和习近平总书记考察云南重要讲话精神，认真贯彻落实《中国共产党工作机关条例(试行)》和党中央、省委、市委的决策部署，充分发挥“四最一中枢”和综合办事机构职能作用的重要抓手，</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领导高度重视，为此</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专门成立了绩效评价小组，对</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机关各处室202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年预算项目的预算投入、执行、产出、效果等情况进行全方位的评价，评价结束后还将做好结果应用，推动</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全面预算绩效管理的有效实施和政策落地。</w:t>
      </w:r>
    </w:p>
    <w:p>
      <w:pPr>
        <w:ind w:firstLine="560" w:firstLineChars="200"/>
        <w:outlineLvl w:val="0"/>
        <w:rPr>
          <w:rFonts w:hint="default" w:ascii="Times New Roman" w:hAnsi="Times New Roman" w:eastAsia="楷体_GB2312" w:cs="Times New Roman"/>
          <w:sz w:val="28"/>
          <w:szCs w:val="28"/>
        </w:rPr>
      </w:pPr>
      <w:bookmarkStart w:id="41" w:name="_Toc2024300143"/>
      <w:r>
        <w:rPr>
          <w:rFonts w:hint="default" w:ascii="Times New Roman" w:hAnsi="Times New Roman" w:eastAsia="楷体_GB2312" w:cs="Times New Roman"/>
          <w:sz w:val="28"/>
          <w:szCs w:val="28"/>
        </w:rPr>
        <w:t>（二）做好预算绩效管理的事中控制</w:t>
      </w:r>
      <w:bookmarkEnd w:id="41"/>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为做好预算绩效管理工作，202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在各季度结束后，及时跟进季度预算监控工作，统计各项目的预算执行进度和绩效目标完成情况，对预算执行率、绩效产出率进行分析研判，将监控结果在机关范围内予以公开，对预算执行中存在的偏差，要求项目实施处室/部门及时进行整改，以达到财政部门对预算执行的进度要求，并在项目执行中树立绩效意识。</w:t>
      </w:r>
    </w:p>
    <w:bookmarkEnd w:id="40"/>
    <w:p>
      <w:pPr>
        <w:widowControl w:val="0"/>
        <w:overflowPunct/>
        <w:ind w:firstLine="560" w:firstLineChars="200"/>
        <w:outlineLvl w:val="0"/>
        <w:rPr>
          <w:rFonts w:hint="default" w:ascii="Times New Roman" w:hAnsi="Times New Roman" w:eastAsia="黑体" w:cs="Times New Roman"/>
          <w:kern w:val="44"/>
          <w:sz w:val="28"/>
          <w:szCs w:val="28"/>
          <w:lang w:val="zh-CN"/>
        </w:rPr>
      </w:pPr>
      <w:bookmarkStart w:id="42" w:name="_Toc1459879922"/>
      <w:r>
        <w:rPr>
          <w:rFonts w:hint="default" w:ascii="Times New Roman" w:hAnsi="Times New Roman" w:eastAsia="黑体" w:cs="Times New Roman"/>
          <w:kern w:val="44"/>
          <w:sz w:val="28"/>
          <w:szCs w:val="28"/>
          <w:lang w:val="zh-CN"/>
        </w:rPr>
        <w:t>六、存在的问题</w:t>
      </w:r>
      <w:bookmarkEnd w:id="42"/>
    </w:p>
    <w:p>
      <w:pPr>
        <w:ind w:firstLine="560" w:firstLineChars="200"/>
        <w:outlineLvl w:val="0"/>
        <w:rPr>
          <w:rFonts w:hint="default" w:ascii="Times New Roman" w:hAnsi="Times New Roman" w:eastAsia="楷体_GB2312" w:cs="Times New Roman"/>
          <w:sz w:val="28"/>
          <w:szCs w:val="28"/>
        </w:rPr>
      </w:pPr>
      <w:bookmarkStart w:id="43" w:name="_Toc649229359"/>
      <w:bookmarkStart w:id="44" w:name="_Hlk100919491"/>
      <w:bookmarkStart w:id="45" w:name="OLE_LINK7"/>
      <w:bookmarkStart w:id="46" w:name="_Hlk514320903"/>
      <w:r>
        <w:rPr>
          <w:rFonts w:hint="default" w:ascii="Times New Roman" w:hAnsi="Times New Roman" w:eastAsia="楷体_GB2312" w:cs="Times New Roman"/>
          <w:sz w:val="28"/>
          <w:szCs w:val="28"/>
        </w:rPr>
        <w:t>（一）绩效目标设定方面应加强事前论证</w:t>
      </w:r>
      <w:bookmarkEnd w:id="43"/>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经对202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度部门整体绩效目标设定、项目支出绩效目标设定情况进行评价分析，存在指标少、核心指标提炼不足等情况。应针对部分项目指标设定的薄弱环节，在预算申报、项目追加过程中，认真学习《中央部门项目支出核心绩效目标和指标设置及取值指引（试行）》（财预〔2021〕101号）、《云南省分行业、分领域预算绩效指标和标准体系建设工作指引（试行）》（云财绩〔2021〕40号）等文件精神，结合部门职责（如办文、办会、辅政、督查、调研、信息报送、综合协调等），认真开展项目绩效指标设置的事前论证工作，提炼出合理的数量、质量指标，赋予科学、可考核、可衡量的指标值，体现</w:t>
      </w:r>
      <w:r>
        <w:rPr>
          <w:rFonts w:hint="default" w:ascii="Times New Roman" w:hAnsi="Times New Roman" w:eastAsia="仿宋_GB2312" w:cs="Times New Roman"/>
          <w:sz w:val="28"/>
          <w:szCs w:val="28"/>
          <w:lang w:eastAsia="zh-CN"/>
        </w:rPr>
        <w:t>市社科联</w:t>
      </w:r>
      <w:r>
        <w:rPr>
          <w:rFonts w:hint="default" w:ascii="Times New Roman" w:hAnsi="Times New Roman" w:eastAsia="仿宋_GB2312" w:cs="Times New Roman"/>
          <w:sz w:val="28"/>
          <w:szCs w:val="28"/>
        </w:rPr>
        <w:t>的工作特色，为后续部门指标库建设打好基础。</w:t>
      </w:r>
    </w:p>
    <w:p>
      <w:pPr>
        <w:ind w:firstLine="560" w:firstLineChars="200"/>
        <w:outlineLvl w:val="0"/>
        <w:rPr>
          <w:rFonts w:hint="default" w:ascii="Times New Roman" w:hAnsi="Times New Roman" w:eastAsia="楷体_GB2312" w:cs="Times New Roman"/>
          <w:sz w:val="28"/>
          <w:szCs w:val="28"/>
        </w:rPr>
      </w:pPr>
      <w:bookmarkStart w:id="47" w:name="_Toc890711398"/>
      <w:r>
        <w:rPr>
          <w:rFonts w:hint="default" w:ascii="Times New Roman" w:hAnsi="Times New Roman" w:eastAsia="楷体_GB2312" w:cs="Times New Roman"/>
          <w:sz w:val="28"/>
          <w:szCs w:val="28"/>
        </w:rPr>
        <w:t>（二）业务管理方面存在的不足</w:t>
      </w:r>
      <w:bookmarkEnd w:id="47"/>
    </w:p>
    <w:bookmarkEnd w:id="44"/>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是社科工作创新不够。市社科联人员队伍年龄偏大，思想观念、能力素质、工作作风还有待进一步提高，对重大理论和现实问题的发现与研究能力也有待进一步加强。二是社科社会组织凝聚力不够、活力不强。全市共有30多家以社科联为业务主管部门的社科类社会组织，会员6万余人。从全市社科学会开展工作的情况来看，各社会组织管理水平参差不齐，开展活动质量不一。三是全市党校、高校、科研院所、学术团体和部门之间的研究力量整合不够，社会科学研究的组织协调机制需进一步健全。</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针对上述问题，需要在下步工作中</w:t>
      </w:r>
      <w:r>
        <w:rPr>
          <w:rFonts w:hint="default" w:ascii="Times New Roman" w:hAnsi="Times New Roman" w:eastAsia="仿宋_GB2312" w:cs="Times New Roman"/>
          <w:sz w:val="28"/>
          <w:szCs w:val="28"/>
          <w:lang w:eastAsia="zh-CN"/>
        </w:rPr>
        <w:t>给予</w:t>
      </w:r>
      <w:r>
        <w:rPr>
          <w:rFonts w:hint="default" w:ascii="Times New Roman" w:hAnsi="Times New Roman" w:eastAsia="仿宋_GB2312" w:cs="Times New Roman"/>
          <w:sz w:val="28"/>
          <w:szCs w:val="28"/>
        </w:rPr>
        <w:t>高度重视，并切实改进提升。</w:t>
      </w:r>
    </w:p>
    <w:bookmarkEnd w:id="45"/>
    <w:bookmarkEnd w:id="46"/>
    <w:p>
      <w:pPr>
        <w:widowControl w:val="0"/>
        <w:overflowPunct/>
        <w:ind w:firstLine="560" w:firstLineChars="200"/>
        <w:outlineLvl w:val="0"/>
        <w:rPr>
          <w:rFonts w:hint="default" w:ascii="Times New Roman" w:hAnsi="Times New Roman" w:eastAsia="黑体" w:cs="Times New Roman"/>
          <w:kern w:val="44"/>
          <w:sz w:val="28"/>
          <w:szCs w:val="28"/>
          <w:lang w:val="zh-CN"/>
        </w:rPr>
      </w:pPr>
      <w:bookmarkStart w:id="48" w:name="_Toc397413605"/>
      <w:r>
        <w:rPr>
          <w:rFonts w:hint="default" w:ascii="Times New Roman" w:hAnsi="Times New Roman" w:eastAsia="黑体" w:cs="Times New Roman"/>
          <w:kern w:val="44"/>
          <w:sz w:val="28"/>
          <w:szCs w:val="28"/>
          <w:lang w:val="zh-CN"/>
        </w:rPr>
        <w:t>七、改进措施和建议</w:t>
      </w:r>
      <w:bookmarkEnd w:id="48"/>
    </w:p>
    <w:p>
      <w:pPr>
        <w:ind w:firstLine="560" w:firstLineChars="200"/>
        <w:outlineLvl w:val="0"/>
        <w:rPr>
          <w:rFonts w:hint="default" w:ascii="Times New Roman" w:hAnsi="Times New Roman" w:eastAsia="楷体_GB2312" w:cs="Times New Roman"/>
          <w:sz w:val="28"/>
          <w:szCs w:val="28"/>
        </w:rPr>
      </w:pPr>
      <w:bookmarkStart w:id="49" w:name="_Toc40532023"/>
      <w:bookmarkStart w:id="50" w:name="_Toc1878769677"/>
      <w:bookmarkStart w:id="51" w:name="_Hlk514321036"/>
      <w:r>
        <w:rPr>
          <w:rFonts w:hint="default" w:ascii="Times New Roman" w:hAnsi="Times New Roman" w:eastAsia="楷体_GB2312" w:cs="Times New Roman"/>
          <w:sz w:val="28"/>
          <w:szCs w:val="28"/>
        </w:rPr>
        <w:t>（一）</w:t>
      </w:r>
      <w:bookmarkEnd w:id="49"/>
      <w:r>
        <w:rPr>
          <w:rFonts w:hint="default" w:ascii="Times New Roman" w:hAnsi="Times New Roman" w:eastAsia="楷体_GB2312" w:cs="Times New Roman"/>
          <w:sz w:val="28"/>
          <w:szCs w:val="28"/>
        </w:rPr>
        <w:t>培养预算绩效管理人才</w:t>
      </w:r>
      <w:bookmarkEnd w:id="50"/>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重和加强本系统预算绩效管理人才队伍建设，坚持培训与管理实践相结合，坚持结果应用与问题整改相结合，坚持队伍建设向基层倾斜，不断提高基层预算绩效管理人员的专业化素养，树立“花钱必问效、无效必问责”的意识，让预算绩效管理为部门履职、“三化”机关建设服务。</w:t>
      </w:r>
    </w:p>
    <w:bookmarkEnd w:id="51"/>
    <w:p>
      <w:pPr>
        <w:ind w:firstLine="560" w:firstLineChars="200"/>
        <w:outlineLvl w:val="0"/>
        <w:rPr>
          <w:rFonts w:hint="default" w:ascii="Times New Roman" w:hAnsi="Times New Roman" w:eastAsia="楷体_GB2312" w:cs="Times New Roman"/>
          <w:sz w:val="28"/>
          <w:szCs w:val="28"/>
        </w:rPr>
      </w:pPr>
      <w:bookmarkStart w:id="52" w:name="_Toc1309533233"/>
      <w:r>
        <w:rPr>
          <w:rFonts w:hint="default" w:ascii="Times New Roman" w:hAnsi="Times New Roman" w:eastAsia="楷体_GB2312" w:cs="Times New Roman"/>
          <w:sz w:val="28"/>
          <w:szCs w:val="28"/>
        </w:rPr>
        <w:t>（二）强化项目执行过程的跟踪监控、监督与整改</w:t>
      </w:r>
      <w:bookmarkEnd w:id="52"/>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利用项目资金进度统计、绩效运行监控、成本效益分析等形式，将财务管理与业务管理结合起来，强化目标管理与预算绩效执行的一致性、匹配性，按季度落实项目阶段性绩效目标和资金执行进度目标，加强项目实施中的科学监控和整改纠偏力度，强化整改措施的落实，不断提升项目事中监管的效果，逐步形成资金支出管理与业务目标管理相结合的综合监管模式。</w:t>
      </w:r>
    </w:p>
    <w:p>
      <w:pPr>
        <w:ind w:firstLine="560" w:firstLineChars="200"/>
        <w:outlineLvl w:val="0"/>
        <w:rPr>
          <w:rFonts w:hint="default" w:ascii="Times New Roman" w:hAnsi="Times New Roman" w:eastAsia="楷体_GB2312" w:cs="Times New Roman"/>
          <w:sz w:val="28"/>
          <w:szCs w:val="28"/>
        </w:rPr>
      </w:pPr>
      <w:bookmarkStart w:id="53" w:name="_Toc2111491852"/>
      <w:r>
        <w:rPr>
          <w:rFonts w:hint="default" w:ascii="Times New Roman" w:hAnsi="Times New Roman" w:eastAsia="楷体_GB2312" w:cs="Times New Roman"/>
          <w:sz w:val="28"/>
          <w:szCs w:val="28"/>
        </w:rPr>
        <w:t>（三）重视预算绩效评价及结果应用</w:t>
      </w:r>
      <w:bookmarkEnd w:id="53"/>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组织好本单位绩效评价工作。年度终了，及时安排好基层部门的绩效自评和单位层面绩效评价工作，按照财政部门要求的格式和时点完成绩效评价报告，报送市财政部门。其次，注重评价结果应用，绩效评价完成后，积极推进绩效自评信息公开、绩效整改和绩效问责，逐步建立完善的绩效评价结果应用和整改落实体系。</w:t>
      </w:r>
    </w:p>
    <w:p>
      <w:pPr>
        <w:rPr>
          <w:rFonts w:hint="default" w:ascii="Times New Roman" w:hAnsi="Times New Roman" w:eastAsia="仿宋_GB2312" w:cs="Times New Roman"/>
          <w:sz w:val="28"/>
          <w:szCs w:val="28"/>
        </w:rPr>
      </w:pPr>
    </w:p>
    <w:p>
      <w:pPr>
        <w:widowControl w:val="0"/>
        <w:overflowPunct/>
        <w:rPr>
          <w:rFonts w:hint="default" w:ascii="Times New Roman" w:hAnsi="Times New Roman" w:eastAsia="仿宋_GB2312" w:cs="Times New Roman"/>
          <w:color w:val="FF0000"/>
          <w:sz w:val="28"/>
          <w:szCs w:val="28"/>
        </w:rPr>
      </w:pPr>
    </w:p>
    <w:p>
      <w:pPr>
        <w:widowControl w:val="0"/>
        <w:overflowPunct/>
        <w:rPr>
          <w:rFonts w:hint="default" w:ascii="Times New Roman" w:hAnsi="Times New Roman" w:eastAsia="仿宋_GB2312" w:cs="Times New Roman"/>
          <w:sz w:val="28"/>
          <w:szCs w:val="28"/>
        </w:rPr>
      </w:pPr>
    </w:p>
    <w:p>
      <w:pPr>
        <w:widowControl w:val="0"/>
        <w:overflowPunct/>
        <w:rPr>
          <w:rFonts w:hint="default" w:ascii="Times New Roman" w:hAnsi="Times New Roman" w:eastAsia="仿宋_GB2312" w:cs="Times New Roman"/>
          <w:sz w:val="28"/>
          <w:szCs w:val="28"/>
        </w:rPr>
      </w:pPr>
    </w:p>
    <w:p>
      <w:pPr>
        <w:widowControl w:val="0"/>
        <w:overflowPunct/>
        <w:ind w:firstLine="66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昆明市社会科学界联合会</w:t>
      </w:r>
    </w:p>
    <w:p>
      <w:pPr>
        <w:widowControl w:val="0"/>
        <w:overflowPunct/>
        <w:ind w:firstLine="66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日</w:t>
      </w:r>
    </w:p>
    <w:p>
      <w:pPr>
        <w:widowControl w:val="0"/>
        <w:overflowPunct/>
        <w:rPr>
          <w:rFonts w:hint="default" w:ascii="Times New Roman" w:hAnsi="Times New Roman" w:eastAsia="仿宋_GB2312" w:cs="Times New Roman"/>
          <w:sz w:val="28"/>
          <w:szCs w:val="28"/>
        </w:rPr>
      </w:pPr>
    </w:p>
    <w:sectPr>
      <w:pgSz w:w="11906" w:h="16838"/>
      <w:pgMar w:top="1134" w:right="1418" w:bottom="1134" w:left="1418" w:header="851" w:footer="992" w:gutter="0"/>
      <w:cols w:space="720" w:num="1"/>
      <w:docGrid w:type="linesAndChar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PMingLiU">
    <w:altName w:val="Microsoft JhengHei UI"/>
    <w:panose1 w:val="02010601000101010101"/>
    <w:charset w:val="88"/>
    <w:family w:val="roman"/>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roma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fldChar w:fldCharType="begin"/>
    </w:r>
    <w:r>
      <w:instrText xml:space="preserve"> PAGE   \* MERGEFORMAT </w:instrText>
    </w:r>
    <w:r>
      <w:fldChar w:fldCharType="separate"/>
    </w:r>
    <w:r>
      <w:t>34</w:t>
    </w:r>
    <w:r>
      <w:fldChar w:fldCharType="end"/>
    </w:r>
  </w:p>
  <w:p>
    <w:pPr>
      <w:pStyle w:val="5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pStyle w:val="47"/>
      <w:lvlText w:val=""/>
      <w:lvlJc w:val="left"/>
      <w:pPr>
        <w:tabs>
          <w:tab w:val="left" w:pos="2040"/>
        </w:tabs>
        <w:ind w:left="2040" w:hanging="360"/>
      </w:pPr>
      <w:rPr>
        <w:rFonts w:hint="default" w:ascii="Wingdings" w:hAnsi="Wingdings" w:cs="Wingdings"/>
      </w:rPr>
    </w:lvl>
  </w:abstractNum>
  <w:abstractNum w:abstractNumId="1">
    <w:nsid w:val="00000002"/>
    <w:multiLevelType w:val="singleLevel"/>
    <w:tmpl w:val="00000002"/>
    <w:lvl w:ilvl="0" w:tentative="0">
      <w:start w:val="1"/>
      <w:numFmt w:val="bullet"/>
      <w:pStyle w:val="19"/>
      <w:lvlText w:val=""/>
      <w:lvlJc w:val="left"/>
      <w:pPr>
        <w:tabs>
          <w:tab w:val="left" w:pos="1620"/>
        </w:tabs>
        <w:ind w:left="1620" w:hanging="360"/>
      </w:pPr>
      <w:rPr>
        <w:rFonts w:hint="default" w:ascii="Wingdings" w:hAnsi="Wingdings" w:cs="Wingdings"/>
      </w:rPr>
    </w:lvl>
  </w:abstractNum>
  <w:abstractNum w:abstractNumId="2">
    <w:nsid w:val="00000003"/>
    <w:multiLevelType w:val="singleLevel"/>
    <w:tmpl w:val="00000003"/>
    <w:lvl w:ilvl="0" w:tentative="0">
      <w:start w:val="1"/>
      <w:numFmt w:val="bullet"/>
      <w:pStyle w:val="42"/>
      <w:lvlText w:val=""/>
      <w:lvlJc w:val="left"/>
      <w:pPr>
        <w:tabs>
          <w:tab w:val="left" w:pos="780"/>
        </w:tabs>
        <w:ind w:left="780" w:hanging="360"/>
      </w:pPr>
      <w:rPr>
        <w:rFonts w:hint="default" w:ascii="Wingdings" w:hAnsi="Wingdings" w:cs="Wingdings"/>
      </w:rPr>
    </w:lvl>
  </w:abstractNum>
  <w:abstractNum w:abstractNumId="3">
    <w:nsid w:val="0000000F"/>
    <w:multiLevelType w:val="singleLevel"/>
    <w:tmpl w:val="0000000F"/>
    <w:lvl w:ilvl="0" w:tentative="0">
      <w:start w:val="1"/>
      <w:numFmt w:val="decimal"/>
      <w:pStyle w:val="22"/>
      <w:lvlText w:val="%1."/>
      <w:lvlJc w:val="left"/>
      <w:pPr>
        <w:tabs>
          <w:tab w:val="left" w:pos="360"/>
        </w:tabs>
        <w:ind w:left="360" w:hanging="360"/>
      </w:pPr>
    </w:lvl>
  </w:abstractNum>
  <w:abstractNum w:abstractNumId="4">
    <w:nsid w:val="00000010"/>
    <w:multiLevelType w:val="singleLevel"/>
    <w:tmpl w:val="00000010"/>
    <w:lvl w:ilvl="0" w:tentative="0">
      <w:start w:val="1"/>
      <w:numFmt w:val="bullet"/>
      <w:pStyle w:val="26"/>
      <w:lvlText w:val=""/>
      <w:lvlJc w:val="left"/>
      <w:pPr>
        <w:tabs>
          <w:tab w:val="left" w:pos="360"/>
        </w:tabs>
        <w:ind w:left="360" w:hanging="360"/>
      </w:pPr>
      <w:rPr>
        <w:rFonts w:hint="default" w:ascii="Wingdings" w:hAnsi="Wingdings" w:cs="Wingdings"/>
      </w:rPr>
    </w:lvl>
  </w:abstractNum>
  <w:abstractNum w:abstractNumId="5">
    <w:nsid w:val="00000011"/>
    <w:multiLevelType w:val="singleLevel"/>
    <w:tmpl w:val="00000011"/>
    <w:lvl w:ilvl="0" w:tentative="0">
      <w:start w:val="1"/>
      <w:numFmt w:val="decimal"/>
      <w:pStyle w:val="16"/>
      <w:lvlText w:val="%1."/>
      <w:lvlJc w:val="left"/>
      <w:pPr>
        <w:tabs>
          <w:tab w:val="left" w:pos="780"/>
        </w:tabs>
        <w:ind w:left="780" w:hanging="360"/>
      </w:pPr>
    </w:lvl>
  </w:abstractNum>
  <w:abstractNum w:abstractNumId="6">
    <w:nsid w:val="00000012"/>
    <w:multiLevelType w:val="singleLevel"/>
    <w:tmpl w:val="00000012"/>
    <w:lvl w:ilvl="0" w:tentative="0">
      <w:start w:val="1"/>
      <w:numFmt w:val="decimal"/>
      <w:pStyle w:val="48"/>
      <w:lvlText w:val="%1."/>
      <w:lvlJc w:val="left"/>
      <w:pPr>
        <w:tabs>
          <w:tab w:val="left" w:pos="1620"/>
        </w:tabs>
        <w:ind w:left="1620" w:hanging="360"/>
      </w:pPr>
    </w:lvl>
  </w:abstractNum>
  <w:abstractNum w:abstractNumId="7">
    <w:nsid w:val="00000013"/>
    <w:multiLevelType w:val="singleLevel"/>
    <w:tmpl w:val="00000013"/>
    <w:lvl w:ilvl="0" w:tentative="0">
      <w:start w:val="1"/>
      <w:numFmt w:val="decimal"/>
      <w:pStyle w:val="38"/>
      <w:lvlText w:val="%1."/>
      <w:lvlJc w:val="left"/>
      <w:pPr>
        <w:tabs>
          <w:tab w:val="left" w:pos="1200"/>
        </w:tabs>
        <w:ind w:left="1200" w:hanging="360"/>
      </w:pPr>
    </w:lvl>
  </w:abstractNum>
  <w:abstractNum w:abstractNumId="8">
    <w:nsid w:val="00000014"/>
    <w:multiLevelType w:val="singleLevel"/>
    <w:tmpl w:val="00000014"/>
    <w:lvl w:ilvl="0" w:tentative="0">
      <w:start w:val="1"/>
      <w:numFmt w:val="bullet"/>
      <w:pStyle w:val="35"/>
      <w:lvlText w:val=""/>
      <w:lvlJc w:val="left"/>
      <w:pPr>
        <w:tabs>
          <w:tab w:val="left" w:pos="1200"/>
        </w:tabs>
        <w:ind w:left="1200" w:hanging="360"/>
      </w:pPr>
      <w:rPr>
        <w:rFonts w:hint="default" w:ascii="Wingdings" w:hAnsi="Wingdings" w:cs="Wingdings"/>
      </w:rPr>
    </w:lvl>
  </w:abstractNum>
  <w:abstractNum w:abstractNumId="9">
    <w:nsid w:val="21A14907"/>
    <w:multiLevelType w:val="singleLevel"/>
    <w:tmpl w:val="21A14907"/>
    <w:lvl w:ilvl="0" w:tentative="0">
      <w:start w:val="1"/>
      <w:numFmt w:val="decimal"/>
      <w:pStyle w:val="66"/>
      <w:lvlText w:val="%1."/>
      <w:lvlJc w:val="left"/>
      <w:pPr>
        <w:tabs>
          <w:tab w:val="left" w:pos="2040"/>
        </w:tabs>
        <w:ind w:left="2040" w:hanging="360"/>
      </w:pPr>
    </w:lvl>
  </w:abstractNum>
  <w:num w:numId="1">
    <w:abstractNumId w:val="5"/>
  </w:num>
  <w:num w:numId="2">
    <w:abstractNumId w:val="1"/>
  </w:num>
  <w:num w:numId="3">
    <w:abstractNumId w:val="3"/>
  </w:num>
  <w:num w:numId="4">
    <w:abstractNumId w:val="4"/>
  </w:num>
  <w:num w:numId="5">
    <w:abstractNumId w:val="8"/>
  </w:num>
  <w:num w:numId="6">
    <w:abstractNumId w:val="7"/>
  </w:num>
  <w:num w:numId="7">
    <w:abstractNumId w:val="2"/>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NotTrackMoves/>
  <w:documentProtection w:enforcement="0"/>
  <w:defaultTabStop w:val="420"/>
  <w:doNotHyphenateCaps/>
  <w:drawingGridHorizontalSpacing w:val="105"/>
  <w:drawingGridVerticalSpacing w:val="152"/>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34A"/>
    <w:rsid w:val="0000269B"/>
    <w:rsid w:val="0000272E"/>
    <w:rsid w:val="00003F01"/>
    <w:rsid w:val="000041F6"/>
    <w:rsid w:val="00004AA8"/>
    <w:rsid w:val="0000510D"/>
    <w:rsid w:val="00005388"/>
    <w:rsid w:val="00005C13"/>
    <w:rsid w:val="00006DF0"/>
    <w:rsid w:val="0001028C"/>
    <w:rsid w:val="000112F6"/>
    <w:rsid w:val="000121D4"/>
    <w:rsid w:val="00012ABD"/>
    <w:rsid w:val="000139F3"/>
    <w:rsid w:val="00014064"/>
    <w:rsid w:val="00014E15"/>
    <w:rsid w:val="0001638D"/>
    <w:rsid w:val="00016919"/>
    <w:rsid w:val="00017E25"/>
    <w:rsid w:val="00020588"/>
    <w:rsid w:val="00026258"/>
    <w:rsid w:val="000276E5"/>
    <w:rsid w:val="00027979"/>
    <w:rsid w:val="00031E95"/>
    <w:rsid w:val="000332C1"/>
    <w:rsid w:val="0003387E"/>
    <w:rsid w:val="00036389"/>
    <w:rsid w:val="00036991"/>
    <w:rsid w:val="0003783B"/>
    <w:rsid w:val="00040FB0"/>
    <w:rsid w:val="00041B44"/>
    <w:rsid w:val="0004296D"/>
    <w:rsid w:val="00043E55"/>
    <w:rsid w:val="00045145"/>
    <w:rsid w:val="000459D9"/>
    <w:rsid w:val="00046034"/>
    <w:rsid w:val="00047597"/>
    <w:rsid w:val="00050135"/>
    <w:rsid w:val="0005015A"/>
    <w:rsid w:val="000510EF"/>
    <w:rsid w:val="000513C4"/>
    <w:rsid w:val="00051F14"/>
    <w:rsid w:val="000524CE"/>
    <w:rsid w:val="0005344F"/>
    <w:rsid w:val="0005349B"/>
    <w:rsid w:val="00055A8D"/>
    <w:rsid w:val="000569E8"/>
    <w:rsid w:val="00057176"/>
    <w:rsid w:val="00060E15"/>
    <w:rsid w:val="0006261A"/>
    <w:rsid w:val="0006396B"/>
    <w:rsid w:val="000641F1"/>
    <w:rsid w:val="000646AD"/>
    <w:rsid w:val="00064C54"/>
    <w:rsid w:val="00066113"/>
    <w:rsid w:val="00066361"/>
    <w:rsid w:val="000664D4"/>
    <w:rsid w:val="00067B37"/>
    <w:rsid w:val="000712BF"/>
    <w:rsid w:val="0007234C"/>
    <w:rsid w:val="000726BE"/>
    <w:rsid w:val="00073143"/>
    <w:rsid w:val="00073856"/>
    <w:rsid w:val="0007391C"/>
    <w:rsid w:val="00074065"/>
    <w:rsid w:val="0007603F"/>
    <w:rsid w:val="00076888"/>
    <w:rsid w:val="000770A7"/>
    <w:rsid w:val="00077F60"/>
    <w:rsid w:val="00081DA7"/>
    <w:rsid w:val="00081F08"/>
    <w:rsid w:val="0008243B"/>
    <w:rsid w:val="0008485B"/>
    <w:rsid w:val="00084CE3"/>
    <w:rsid w:val="0008579F"/>
    <w:rsid w:val="000860D6"/>
    <w:rsid w:val="000912B7"/>
    <w:rsid w:val="00091C0D"/>
    <w:rsid w:val="00091E41"/>
    <w:rsid w:val="00092C68"/>
    <w:rsid w:val="00092E1E"/>
    <w:rsid w:val="00097C9D"/>
    <w:rsid w:val="000A2649"/>
    <w:rsid w:val="000A4C96"/>
    <w:rsid w:val="000A4FF4"/>
    <w:rsid w:val="000A67D9"/>
    <w:rsid w:val="000B0056"/>
    <w:rsid w:val="000B0589"/>
    <w:rsid w:val="000B18ED"/>
    <w:rsid w:val="000B3B50"/>
    <w:rsid w:val="000B43C4"/>
    <w:rsid w:val="000B4428"/>
    <w:rsid w:val="000B4936"/>
    <w:rsid w:val="000B4BEA"/>
    <w:rsid w:val="000B4C3B"/>
    <w:rsid w:val="000B79F9"/>
    <w:rsid w:val="000B7A4B"/>
    <w:rsid w:val="000B7CE8"/>
    <w:rsid w:val="000C1858"/>
    <w:rsid w:val="000C37BD"/>
    <w:rsid w:val="000C43EC"/>
    <w:rsid w:val="000D0086"/>
    <w:rsid w:val="000D0235"/>
    <w:rsid w:val="000D09E2"/>
    <w:rsid w:val="000D0E34"/>
    <w:rsid w:val="000D2C89"/>
    <w:rsid w:val="000D2D7B"/>
    <w:rsid w:val="000D48FA"/>
    <w:rsid w:val="000D5738"/>
    <w:rsid w:val="000D75B5"/>
    <w:rsid w:val="000E0EB7"/>
    <w:rsid w:val="000E134A"/>
    <w:rsid w:val="000E3ACE"/>
    <w:rsid w:val="000E3FB7"/>
    <w:rsid w:val="000E472A"/>
    <w:rsid w:val="000E4A53"/>
    <w:rsid w:val="000E5236"/>
    <w:rsid w:val="000E5B6E"/>
    <w:rsid w:val="000E6111"/>
    <w:rsid w:val="000E76A4"/>
    <w:rsid w:val="000F15DF"/>
    <w:rsid w:val="000F1778"/>
    <w:rsid w:val="000F32F6"/>
    <w:rsid w:val="000F3445"/>
    <w:rsid w:val="000F5090"/>
    <w:rsid w:val="000F5649"/>
    <w:rsid w:val="001015B6"/>
    <w:rsid w:val="00102E1E"/>
    <w:rsid w:val="001033E1"/>
    <w:rsid w:val="00104475"/>
    <w:rsid w:val="0010456B"/>
    <w:rsid w:val="001069A7"/>
    <w:rsid w:val="001104E7"/>
    <w:rsid w:val="00110837"/>
    <w:rsid w:val="00112F3D"/>
    <w:rsid w:val="0011491C"/>
    <w:rsid w:val="0011594B"/>
    <w:rsid w:val="001220AC"/>
    <w:rsid w:val="0012224C"/>
    <w:rsid w:val="00123228"/>
    <w:rsid w:val="00123B94"/>
    <w:rsid w:val="001267D7"/>
    <w:rsid w:val="00127A29"/>
    <w:rsid w:val="001308BC"/>
    <w:rsid w:val="001317B5"/>
    <w:rsid w:val="00132D33"/>
    <w:rsid w:val="0013343C"/>
    <w:rsid w:val="00135AF7"/>
    <w:rsid w:val="00137BD5"/>
    <w:rsid w:val="001410B8"/>
    <w:rsid w:val="00141430"/>
    <w:rsid w:val="00143F73"/>
    <w:rsid w:val="0014421A"/>
    <w:rsid w:val="0014461B"/>
    <w:rsid w:val="00145AEC"/>
    <w:rsid w:val="0014686A"/>
    <w:rsid w:val="00146BBB"/>
    <w:rsid w:val="0014786E"/>
    <w:rsid w:val="00147CCB"/>
    <w:rsid w:val="0015018F"/>
    <w:rsid w:val="00150A41"/>
    <w:rsid w:val="00151EC0"/>
    <w:rsid w:val="00154748"/>
    <w:rsid w:val="00154B76"/>
    <w:rsid w:val="00155891"/>
    <w:rsid w:val="001567B5"/>
    <w:rsid w:val="001604FE"/>
    <w:rsid w:val="00162A90"/>
    <w:rsid w:val="00163A88"/>
    <w:rsid w:val="00163D5C"/>
    <w:rsid w:val="00163DFE"/>
    <w:rsid w:val="00165D46"/>
    <w:rsid w:val="00171E4D"/>
    <w:rsid w:val="001724FE"/>
    <w:rsid w:val="00172A27"/>
    <w:rsid w:val="001731B1"/>
    <w:rsid w:val="0017483D"/>
    <w:rsid w:val="0017544D"/>
    <w:rsid w:val="00175E0A"/>
    <w:rsid w:val="001765FA"/>
    <w:rsid w:val="0017791D"/>
    <w:rsid w:val="00177AAB"/>
    <w:rsid w:val="0018171D"/>
    <w:rsid w:val="00182CBD"/>
    <w:rsid w:val="00183C5B"/>
    <w:rsid w:val="00184EF5"/>
    <w:rsid w:val="001850DE"/>
    <w:rsid w:val="00186E5C"/>
    <w:rsid w:val="00187987"/>
    <w:rsid w:val="00190F15"/>
    <w:rsid w:val="00191660"/>
    <w:rsid w:val="00191793"/>
    <w:rsid w:val="00191C7D"/>
    <w:rsid w:val="001932C4"/>
    <w:rsid w:val="00194287"/>
    <w:rsid w:val="00194596"/>
    <w:rsid w:val="00194753"/>
    <w:rsid w:val="00194F86"/>
    <w:rsid w:val="00195474"/>
    <w:rsid w:val="001956B9"/>
    <w:rsid w:val="00195C17"/>
    <w:rsid w:val="00196817"/>
    <w:rsid w:val="00197002"/>
    <w:rsid w:val="001A0D70"/>
    <w:rsid w:val="001A2685"/>
    <w:rsid w:val="001A2EA0"/>
    <w:rsid w:val="001A3F62"/>
    <w:rsid w:val="001A42B4"/>
    <w:rsid w:val="001A48F5"/>
    <w:rsid w:val="001A746A"/>
    <w:rsid w:val="001B1D81"/>
    <w:rsid w:val="001B2177"/>
    <w:rsid w:val="001B2672"/>
    <w:rsid w:val="001B2C66"/>
    <w:rsid w:val="001B5A40"/>
    <w:rsid w:val="001B6048"/>
    <w:rsid w:val="001B69AA"/>
    <w:rsid w:val="001C0AC2"/>
    <w:rsid w:val="001C0EC2"/>
    <w:rsid w:val="001C1218"/>
    <w:rsid w:val="001C213E"/>
    <w:rsid w:val="001C2248"/>
    <w:rsid w:val="001C70AE"/>
    <w:rsid w:val="001D0B53"/>
    <w:rsid w:val="001D0FB0"/>
    <w:rsid w:val="001E07B2"/>
    <w:rsid w:val="001E122B"/>
    <w:rsid w:val="001E3911"/>
    <w:rsid w:val="001E60CD"/>
    <w:rsid w:val="001E7B31"/>
    <w:rsid w:val="001F0846"/>
    <w:rsid w:val="001F23EE"/>
    <w:rsid w:val="001F285F"/>
    <w:rsid w:val="001F4A09"/>
    <w:rsid w:val="001F697E"/>
    <w:rsid w:val="001F7DE7"/>
    <w:rsid w:val="00200785"/>
    <w:rsid w:val="00200D78"/>
    <w:rsid w:val="00202A96"/>
    <w:rsid w:val="0020324C"/>
    <w:rsid w:val="002036F5"/>
    <w:rsid w:val="0020389A"/>
    <w:rsid w:val="00204998"/>
    <w:rsid w:val="0020647D"/>
    <w:rsid w:val="00206F56"/>
    <w:rsid w:val="00207602"/>
    <w:rsid w:val="002114C2"/>
    <w:rsid w:val="00212166"/>
    <w:rsid w:val="002122FB"/>
    <w:rsid w:val="0021310F"/>
    <w:rsid w:val="00213AD2"/>
    <w:rsid w:val="0021521D"/>
    <w:rsid w:val="00215E6F"/>
    <w:rsid w:val="0021618E"/>
    <w:rsid w:val="002164DB"/>
    <w:rsid w:val="00216809"/>
    <w:rsid w:val="0022069F"/>
    <w:rsid w:val="0022297B"/>
    <w:rsid w:val="002229A2"/>
    <w:rsid w:val="00224CF6"/>
    <w:rsid w:val="00225EDF"/>
    <w:rsid w:val="002305D4"/>
    <w:rsid w:val="00230821"/>
    <w:rsid w:val="00232061"/>
    <w:rsid w:val="0023247A"/>
    <w:rsid w:val="00234F68"/>
    <w:rsid w:val="00235EA3"/>
    <w:rsid w:val="00240985"/>
    <w:rsid w:val="002438D8"/>
    <w:rsid w:val="00247627"/>
    <w:rsid w:val="00250E5C"/>
    <w:rsid w:val="00252542"/>
    <w:rsid w:val="00252B75"/>
    <w:rsid w:val="00253227"/>
    <w:rsid w:val="00253991"/>
    <w:rsid w:val="00254841"/>
    <w:rsid w:val="002552FD"/>
    <w:rsid w:val="00255C44"/>
    <w:rsid w:val="00255D1C"/>
    <w:rsid w:val="0025661B"/>
    <w:rsid w:val="002570F3"/>
    <w:rsid w:val="00260279"/>
    <w:rsid w:val="00260BE0"/>
    <w:rsid w:val="00262EA6"/>
    <w:rsid w:val="00263426"/>
    <w:rsid w:val="0026361A"/>
    <w:rsid w:val="00265D07"/>
    <w:rsid w:val="002662D7"/>
    <w:rsid w:val="00266BB0"/>
    <w:rsid w:val="00267149"/>
    <w:rsid w:val="00267DE0"/>
    <w:rsid w:val="00270294"/>
    <w:rsid w:val="0027175E"/>
    <w:rsid w:val="00273EFE"/>
    <w:rsid w:val="002760D5"/>
    <w:rsid w:val="002770CA"/>
    <w:rsid w:val="00280C7B"/>
    <w:rsid w:val="00280D9E"/>
    <w:rsid w:val="00280F1C"/>
    <w:rsid w:val="00282C67"/>
    <w:rsid w:val="00283502"/>
    <w:rsid w:val="00285116"/>
    <w:rsid w:val="00286012"/>
    <w:rsid w:val="002910FF"/>
    <w:rsid w:val="00293BB0"/>
    <w:rsid w:val="00293DB0"/>
    <w:rsid w:val="002943A5"/>
    <w:rsid w:val="00295A9F"/>
    <w:rsid w:val="00297E90"/>
    <w:rsid w:val="00297EB2"/>
    <w:rsid w:val="002A1D29"/>
    <w:rsid w:val="002A2ED2"/>
    <w:rsid w:val="002A2FF4"/>
    <w:rsid w:val="002A3F03"/>
    <w:rsid w:val="002A3FD0"/>
    <w:rsid w:val="002A7F27"/>
    <w:rsid w:val="002B078A"/>
    <w:rsid w:val="002B1FA7"/>
    <w:rsid w:val="002B26DA"/>
    <w:rsid w:val="002B2CA9"/>
    <w:rsid w:val="002B5519"/>
    <w:rsid w:val="002B73A3"/>
    <w:rsid w:val="002C02B1"/>
    <w:rsid w:val="002C2062"/>
    <w:rsid w:val="002C2271"/>
    <w:rsid w:val="002C3E35"/>
    <w:rsid w:val="002C4D89"/>
    <w:rsid w:val="002C6AE6"/>
    <w:rsid w:val="002C72CC"/>
    <w:rsid w:val="002D0EF3"/>
    <w:rsid w:val="002D22E1"/>
    <w:rsid w:val="002D45B3"/>
    <w:rsid w:val="002D4827"/>
    <w:rsid w:val="002E012B"/>
    <w:rsid w:val="002E0877"/>
    <w:rsid w:val="002E30E9"/>
    <w:rsid w:val="002E376F"/>
    <w:rsid w:val="002E3A72"/>
    <w:rsid w:val="002E3D51"/>
    <w:rsid w:val="002E4697"/>
    <w:rsid w:val="002F05E2"/>
    <w:rsid w:val="002F06B6"/>
    <w:rsid w:val="002F08DE"/>
    <w:rsid w:val="002F39CA"/>
    <w:rsid w:val="002F7187"/>
    <w:rsid w:val="00300548"/>
    <w:rsid w:val="003008FB"/>
    <w:rsid w:val="00300D75"/>
    <w:rsid w:val="00301383"/>
    <w:rsid w:val="003036C7"/>
    <w:rsid w:val="00303B90"/>
    <w:rsid w:val="00312194"/>
    <w:rsid w:val="00312DF0"/>
    <w:rsid w:val="0031430F"/>
    <w:rsid w:val="0031465F"/>
    <w:rsid w:val="00315E00"/>
    <w:rsid w:val="00316B96"/>
    <w:rsid w:val="003174A4"/>
    <w:rsid w:val="00320359"/>
    <w:rsid w:val="00321949"/>
    <w:rsid w:val="003220FA"/>
    <w:rsid w:val="0032235B"/>
    <w:rsid w:val="0032247A"/>
    <w:rsid w:val="0032274E"/>
    <w:rsid w:val="0032275E"/>
    <w:rsid w:val="00324C7B"/>
    <w:rsid w:val="00324D8D"/>
    <w:rsid w:val="00325701"/>
    <w:rsid w:val="00325F18"/>
    <w:rsid w:val="003264D3"/>
    <w:rsid w:val="00327133"/>
    <w:rsid w:val="00332ABA"/>
    <w:rsid w:val="00332D58"/>
    <w:rsid w:val="00333305"/>
    <w:rsid w:val="00333F55"/>
    <w:rsid w:val="00333FEE"/>
    <w:rsid w:val="003342A9"/>
    <w:rsid w:val="00334A08"/>
    <w:rsid w:val="00334CBC"/>
    <w:rsid w:val="00334E5E"/>
    <w:rsid w:val="00337253"/>
    <w:rsid w:val="00337460"/>
    <w:rsid w:val="0034016C"/>
    <w:rsid w:val="0034063A"/>
    <w:rsid w:val="00340DC2"/>
    <w:rsid w:val="00341A7C"/>
    <w:rsid w:val="00342883"/>
    <w:rsid w:val="00343175"/>
    <w:rsid w:val="00345240"/>
    <w:rsid w:val="00345984"/>
    <w:rsid w:val="003464E6"/>
    <w:rsid w:val="0034723E"/>
    <w:rsid w:val="00347301"/>
    <w:rsid w:val="003531E5"/>
    <w:rsid w:val="003534D6"/>
    <w:rsid w:val="00355174"/>
    <w:rsid w:val="00355C5F"/>
    <w:rsid w:val="00355EF9"/>
    <w:rsid w:val="00356269"/>
    <w:rsid w:val="00356DBD"/>
    <w:rsid w:val="00357172"/>
    <w:rsid w:val="00357B9A"/>
    <w:rsid w:val="00363A83"/>
    <w:rsid w:val="0036514C"/>
    <w:rsid w:val="00366F67"/>
    <w:rsid w:val="003717C4"/>
    <w:rsid w:val="00371B8F"/>
    <w:rsid w:val="00373D8A"/>
    <w:rsid w:val="00374378"/>
    <w:rsid w:val="0037516D"/>
    <w:rsid w:val="00376280"/>
    <w:rsid w:val="003763F5"/>
    <w:rsid w:val="00376941"/>
    <w:rsid w:val="00377794"/>
    <w:rsid w:val="003777A2"/>
    <w:rsid w:val="0038015C"/>
    <w:rsid w:val="00381061"/>
    <w:rsid w:val="003813E7"/>
    <w:rsid w:val="003824C9"/>
    <w:rsid w:val="003836F9"/>
    <w:rsid w:val="00383DB6"/>
    <w:rsid w:val="00385972"/>
    <w:rsid w:val="00386A5B"/>
    <w:rsid w:val="003877D9"/>
    <w:rsid w:val="00387AF7"/>
    <w:rsid w:val="00390A07"/>
    <w:rsid w:val="00390B7D"/>
    <w:rsid w:val="00390B92"/>
    <w:rsid w:val="00391739"/>
    <w:rsid w:val="00391CAC"/>
    <w:rsid w:val="00391E25"/>
    <w:rsid w:val="0039495A"/>
    <w:rsid w:val="003954B8"/>
    <w:rsid w:val="003969CF"/>
    <w:rsid w:val="003977D1"/>
    <w:rsid w:val="003A12FE"/>
    <w:rsid w:val="003A234F"/>
    <w:rsid w:val="003A41BA"/>
    <w:rsid w:val="003A4505"/>
    <w:rsid w:val="003A4A7A"/>
    <w:rsid w:val="003A5B07"/>
    <w:rsid w:val="003A659D"/>
    <w:rsid w:val="003A685A"/>
    <w:rsid w:val="003B156C"/>
    <w:rsid w:val="003B3BDE"/>
    <w:rsid w:val="003B4769"/>
    <w:rsid w:val="003B622A"/>
    <w:rsid w:val="003C07BE"/>
    <w:rsid w:val="003C2E6D"/>
    <w:rsid w:val="003C387F"/>
    <w:rsid w:val="003C5077"/>
    <w:rsid w:val="003C5D6F"/>
    <w:rsid w:val="003C79AF"/>
    <w:rsid w:val="003C7ADC"/>
    <w:rsid w:val="003C7B8B"/>
    <w:rsid w:val="003C7D7E"/>
    <w:rsid w:val="003D016F"/>
    <w:rsid w:val="003D08E7"/>
    <w:rsid w:val="003D1A66"/>
    <w:rsid w:val="003D2B7C"/>
    <w:rsid w:val="003D2C42"/>
    <w:rsid w:val="003D3B7D"/>
    <w:rsid w:val="003D466E"/>
    <w:rsid w:val="003D46FB"/>
    <w:rsid w:val="003D5BAE"/>
    <w:rsid w:val="003D66BF"/>
    <w:rsid w:val="003E0378"/>
    <w:rsid w:val="003E2C6E"/>
    <w:rsid w:val="003E48D6"/>
    <w:rsid w:val="003E4A34"/>
    <w:rsid w:val="003E606A"/>
    <w:rsid w:val="003F04F4"/>
    <w:rsid w:val="003F1177"/>
    <w:rsid w:val="003F32E8"/>
    <w:rsid w:val="003F35BA"/>
    <w:rsid w:val="003F478D"/>
    <w:rsid w:val="003F4E50"/>
    <w:rsid w:val="003F507F"/>
    <w:rsid w:val="003F53EA"/>
    <w:rsid w:val="003F5EF6"/>
    <w:rsid w:val="003F605D"/>
    <w:rsid w:val="004019A9"/>
    <w:rsid w:val="00403366"/>
    <w:rsid w:val="00404390"/>
    <w:rsid w:val="004049C0"/>
    <w:rsid w:val="004060D7"/>
    <w:rsid w:val="00406AB0"/>
    <w:rsid w:val="00406C76"/>
    <w:rsid w:val="0040721A"/>
    <w:rsid w:val="00407502"/>
    <w:rsid w:val="00407AB4"/>
    <w:rsid w:val="00407D26"/>
    <w:rsid w:val="0041132F"/>
    <w:rsid w:val="00412024"/>
    <w:rsid w:val="004154D4"/>
    <w:rsid w:val="00415F47"/>
    <w:rsid w:val="00416105"/>
    <w:rsid w:val="0041724C"/>
    <w:rsid w:val="004172AB"/>
    <w:rsid w:val="00417B0F"/>
    <w:rsid w:val="0042258F"/>
    <w:rsid w:val="004235D0"/>
    <w:rsid w:val="00423764"/>
    <w:rsid w:val="00426886"/>
    <w:rsid w:val="004279C6"/>
    <w:rsid w:val="00427D86"/>
    <w:rsid w:val="00430BC7"/>
    <w:rsid w:val="0043117F"/>
    <w:rsid w:val="00431BB2"/>
    <w:rsid w:val="004328F5"/>
    <w:rsid w:val="00433B4A"/>
    <w:rsid w:val="00434C97"/>
    <w:rsid w:val="004350B4"/>
    <w:rsid w:val="004412DF"/>
    <w:rsid w:val="00442A88"/>
    <w:rsid w:val="00444403"/>
    <w:rsid w:val="00447962"/>
    <w:rsid w:val="00450850"/>
    <w:rsid w:val="004510DF"/>
    <w:rsid w:val="00451977"/>
    <w:rsid w:val="004521D4"/>
    <w:rsid w:val="00452433"/>
    <w:rsid w:val="00453246"/>
    <w:rsid w:val="004532E8"/>
    <w:rsid w:val="0045365B"/>
    <w:rsid w:val="00454940"/>
    <w:rsid w:val="004553BF"/>
    <w:rsid w:val="00456421"/>
    <w:rsid w:val="004569D7"/>
    <w:rsid w:val="0045724B"/>
    <w:rsid w:val="00457358"/>
    <w:rsid w:val="00460729"/>
    <w:rsid w:val="00461334"/>
    <w:rsid w:val="00462AAD"/>
    <w:rsid w:val="00462BC3"/>
    <w:rsid w:val="004630EA"/>
    <w:rsid w:val="00465AC0"/>
    <w:rsid w:val="00466885"/>
    <w:rsid w:val="00470781"/>
    <w:rsid w:val="004721B7"/>
    <w:rsid w:val="00472906"/>
    <w:rsid w:val="004763FF"/>
    <w:rsid w:val="00476556"/>
    <w:rsid w:val="0048001E"/>
    <w:rsid w:val="004850E5"/>
    <w:rsid w:val="004869EE"/>
    <w:rsid w:val="00491C43"/>
    <w:rsid w:val="00492E85"/>
    <w:rsid w:val="004939E6"/>
    <w:rsid w:val="00495A51"/>
    <w:rsid w:val="0049727F"/>
    <w:rsid w:val="004A085A"/>
    <w:rsid w:val="004A0E5C"/>
    <w:rsid w:val="004A1092"/>
    <w:rsid w:val="004A37A1"/>
    <w:rsid w:val="004A43B7"/>
    <w:rsid w:val="004A4F64"/>
    <w:rsid w:val="004B0C12"/>
    <w:rsid w:val="004B18FD"/>
    <w:rsid w:val="004B39B3"/>
    <w:rsid w:val="004B3D43"/>
    <w:rsid w:val="004B403B"/>
    <w:rsid w:val="004B4A2F"/>
    <w:rsid w:val="004B5EF5"/>
    <w:rsid w:val="004B772B"/>
    <w:rsid w:val="004C03B9"/>
    <w:rsid w:val="004C07D2"/>
    <w:rsid w:val="004C0F8E"/>
    <w:rsid w:val="004C1A9C"/>
    <w:rsid w:val="004C303E"/>
    <w:rsid w:val="004C5B40"/>
    <w:rsid w:val="004C6451"/>
    <w:rsid w:val="004C6AEF"/>
    <w:rsid w:val="004D02BF"/>
    <w:rsid w:val="004D0A2B"/>
    <w:rsid w:val="004D106F"/>
    <w:rsid w:val="004D3940"/>
    <w:rsid w:val="004D4026"/>
    <w:rsid w:val="004D49A8"/>
    <w:rsid w:val="004D49EA"/>
    <w:rsid w:val="004D4D78"/>
    <w:rsid w:val="004D503E"/>
    <w:rsid w:val="004D71B9"/>
    <w:rsid w:val="004E0148"/>
    <w:rsid w:val="004E0D1D"/>
    <w:rsid w:val="004E237E"/>
    <w:rsid w:val="004E24F8"/>
    <w:rsid w:val="004E6300"/>
    <w:rsid w:val="004E634B"/>
    <w:rsid w:val="004E6C3D"/>
    <w:rsid w:val="004F10C1"/>
    <w:rsid w:val="004F1D83"/>
    <w:rsid w:val="004F45B5"/>
    <w:rsid w:val="004F604E"/>
    <w:rsid w:val="004F688A"/>
    <w:rsid w:val="004F7C09"/>
    <w:rsid w:val="0050072B"/>
    <w:rsid w:val="00501DB8"/>
    <w:rsid w:val="00502436"/>
    <w:rsid w:val="00503ACB"/>
    <w:rsid w:val="00506079"/>
    <w:rsid w:val="00506806"/>
    <w:rsid w:val="00507ED4"/>
    <w:rsid w:val="00512E9F"/>
    <w:rsid w:val="00513607"/>
    <w:rsid w:val="0051360D"/>
    <w:rsid w:val="00515763"/>
    <w:rsid w:val="00515B94"/>
    <w:rsid w:val="00516062"/>
    <w:rsid w:val="00517999"/>
    <w:rsid w:val="005259B2"/>
    <w:rsid w:val="00525BC7"/>
    <w:rsid w:val="0052690F"/>
    <w:rsid w:val="00527C75"/>
    <w:rsid w:val="0053323E"/>
    <w:rsid w:val="0053424B"/>
    <w:rsid w:val="0053428F"/>
    <w:rsid w:val="00534771"/>
    <w:rsid w:val="005356CB"/>
    <w:rsid w:val="00535B6E"/>
    <w:rsid w:val="00536907"/>
    <w:rsid w:val="00536F89"/>
    <w:rsid w:val="00537D9F"/>
    <w:rsid w:val="005415F7"/>
    <w:rsid w:val="00542B87"/>
    <w:rsid w:val="0054389E"/>
    <w:rsid w:val="00543D9A"/>
    <w:rsid w:val="00544BC2"/>
    <w:rsid w:val="00546A87"/>
    <w:rsid w:val="005478EF"/>
    <w:rsid w:val="00547B5D"/>
    <w:rsid w:val="00547ED8"/>
    <w:rsid w:val="00550FB4"/>
    <w:rsid w:val="005513FD"/>
    <w:rsid w:val="00551A7C"/>
    <w:rsid w:val="00551F72"/>
    <w:rsid w:val="0055453B"/>
    <w:rsid w:val="00555A44"/>
    <w:rsid w:val="00556F8D"/>
    <w:rsid w:val="005574BA"/>
    <w:rsid w:val="00560F77"/>
    <w:rsid w:val="00561F2A"/>
    <w:rsid w:val="0056255C"/>
    <w:rsid w:val="00563A91"/>
    <w:rsid w:val="0056537C"/>
    <w:rsid w:val="00565979"/>
    <w:rsid w:val="00565AFA"/>
    <w:rsid w:val="00567926"/>
    <w:rsid w:val="00567F43"/>
    <w:rsid w:val="0057081D"/>
    <w:rsid w:val="00570E6A"/>
    <w:rsid w:val="005715BC"/>
    <w:rsid w:val="0057335C"/>
    <w:rsid w:val="00574A73"/>
    <w:rsid w:val="0057510F"/>
    <w:rsid w:val="00575577"/>
    <w:rsid w:val="00575776"/>
    <w:rsid w:val="005766ED"/>
    <w:rsid w:val="00576A84"/>
    <w:rsid w:val="005770C8"/>
    <w:rsid w:val="005806A5"/>
    <w:rsid w:val="005843C0"/>
    <w:rsid w:val="005865DB"/>
    <w:rsid w:val="00594B1A"/>
    <w:rsid w:val="005966E7"/>
    <w:rsid w:val="00597AB0"/>
    <w:rsid w:val="005A06A3"/>
    <w:rsid w:val="005A0B69"/>
    <w:rsid w:val="005A1EC8"/>
    <w:rsid w:val="005A3E39"/>
    <w:rsid w:val="005A528A"/>
    <w:rsid w:val="005A5F4B"/>
    <w:rsid w:val="005A6138"/>
    <w:rsid w:val="005A6BB8"/>
    <w:rsid w:val="005A70BE"/>
    <w:rsid w:val="005B1E13"/>
    <w:rsid w:val="005B2951"/>
    <w:rsid w:val="005B5E7F"/>
    <w:rsid w:val="005B62AB"/>
    <w:rsid w:val="005B6748"/>
    <w:rsid w:val="005C0B6D"/>
    <w:rsid w:val="005C1A09"/>
    <w:rsid w:val="005C348A"/>
    <w:rsid w:val="005C376F"/>
    <w:rsid w:val="005C5025"/>
    <w:rsid w:val="005C52FC"/>
    <w:rsid w:val="005C6D58"/>
    <w:rsid w:val="005D1113"/>
    <w:rsid w:val="005D181C"/>
    <w:rsid w:val="005D3A0C"/>
    <w:rsid w:val="005D5743"/>
    <w:rsid w:val="005D65BE"/>
    <w:rsid w:val="005E21C2"/>
    <w:rsid w:val="005E375E"/>
    <w:rsid w:val="005E3C28"/>
    <w:rsid w:val="005E602C"/>
    <w:rsid w:val="005E67D8"/>
    <w:rsid w:val="005E7269"/>
    <w:rsid w:val="005F012A"/>
    <w:rsid w:val="005F29FB"/>
    <w:rsid w:val="005F2BD9"/>
    <w:rsid w:val="005F3765"/>
    <w:rsid w:val="005F3EEB"/>
    <w:rsid w:val="005F57A3"/>
    <w:rsid w:val="005F621E"/>
    <w:rsid w:val="005F623E"/>
    <w:rsid w:val="005F648E"/>
    <w:rsid w:val="005F70F7"/>
    <w:rsid w:val="005F7B0E"/>
    <w:rsid w:val="00603F46"/>
    <w:rsid w:val="00604172"/>
    <w:rsid w:val="00606969"/>
    <w:rsid w:val="00612492"/>
    <w:rsid w:val="006156D7"/>
    <w:rsid w:val="00616D36"/>
    <w:rsid w:val="0062056A"/>
    <w:rsid w:val="00621B9B"/>
    <w:rsid w:val="006223D2"/>
    <w:rsid w:val="00622DAD"/>
    <w:rsid w:val="006233F4"/>
    <w:rsid w:val="00624570"/>
    <w:rsid w:val="00627AE6"/>
    <w:rsid w:val="00627C91"/>
    <w:rsid w:val="00627DAB"/>
    <w:rsid w:val="006305EA"/>
    <w:rsid w:val="00630B89"/>
    <w:rsid w:val="00631612"/>
    <w:rsid w:val="00631A6C"/>
    <w:rsid w:val="00631B47"/>
    <w:rsid w:val="00631D32"/>
    <w:rsid w:val="00633417"/>
    <w:rsid w:val="00633EF2"/>
    <w:rsid w:val="00634C86"/>
    <w:rsid w:val="00635180"/>
    <w:rsid w:val="0063579A"/>
    <w:rsid w:val="0063679B"/>
    <w:rsid w:val="00636E09"/>
    <w:rsid w:val="006410A7"/>
    <w:rsid w:val="00641A49"/>
    <w:rsid w:val="0064238E"/>
    <w:rsid w:val="00643B4A"/>
    <w:rsid w:val="00644790"/>
    <w:rsid w:val="006448E3"/>
    <w:rsid w:val="006455B1"/>
    <w:rsid w:val="00646712"/>
    <w:rsid w:val="0064701A"/>
    <w:rsid w:val="00647425"/>
    <w:rsid w:val="0065050C"/>
    <w:rsid w:val="006506F1"/>
    <w:rsid w:val="00651503"/>
    <w:rsid w:val="006537F5"/>
    <w:rsid w:val="00655335"/>
    <w:rsid w:val="00655405"/>
    <w:rsid w:val="006558C0"/>
    <w:rsid w:val="00656610"/>
    <w:rsid w:val="00657150"/>
    <w:rsid w:val="00657186"/>
    <w:rsid w:val="0066531D"/>
    <w:rsid w:val="00665526"/>
    <w:rsid w:val="00666CF3"/>
    <w:rsid w:val="0067352B"/>
    <w:rsid w:val="00675E39"/>
    <w:rsid w:val="006803C0"/>
    <w:rsid w:val="00680731"/>
    <w:rsid w:val="006810FD"/>
    <w:rsid w:val="00682023"/>
    <w:rsid w:val="00682C09"/>
    <w:rsid w:val="00682C87"/>
    <w:rsid w:val="00683A3D"/>
    <w:rsid w:val="006856A8"/>
    <w:rsid w:val="00685BA5"/>
    <w:rsid w:val="006877B7"/>
    <w:rsid w:val="00690ADC"/>
    <w:rsid w:val="006930AC"/>
    <w:rsid w:val="0069420F"/>
    <w:rsid w:val="006947FE"/>
    <w:rsid w:val="00694F02"/>
    <w:rsid w:val="00695214"/>
    <w:rsid w:val="006954FE"/>
    <w:rsid w:val="00696982"/>
    <w:rsid w:val="006A1631"/>
    <w:rsid w:val="006A23C5"/>
    <w:rsid w:val="006A3792"/>
    <w:rsid w:val="006A3AF1"/>
    <w:rsid w:val="006A4981"/>
    <w:rsid w:val="006A4EC5"/>
    <w:rsid w:val="006A5448"/>
    <w:rsid w:val="006B0399"/>
    <w:rsid w:val="006B15E9"/>
    <w:rsid w:val="006B17E2"/>
    <w:rsid w:val="006B6E79"/>
    <w:rsid w:val="006B6E7F"/>
    <w:rsid w:val="006B765E"/>
    <w:rsid w:val="006C178A"/>
    <w:rsid w:val="006C1A92"/>
    <w:rsid w:val="006C2212"/>
    <w:rsid w:val="006C23A2"/>
    <w:rsid w:val="006C2DC1"/>
    <w:rsid w:val="006D0B29"/>
    <w:rsid w:val="006D2B84"/>
    <w:rsid w:val="006D4BBE"/>
    <w:rsid w:val="006D687B"/>
    <w:rsid w:val="006E06C8"/>
    <w:rsid w:val="006E0EFC"/>
    <w:rsid w:val="006E3B4D"/>
    <w:rsid w:val="006E3D3F"/>
    <w:rsid w:val="006E48F1"/>
    <w:rsid w:val="006E5C5C"/>
    <w:rsid w:val="006F02C9"/>
    <w:rsid w:val="006F1302"/>
    <w:rsid w:val="006F1998"/>
    <w:rsid w:val="006F28DD"/>
    <w:rsid w:val="006F3C4F"/>
    <w:rsid w:val="006F407D"/>
    <w:rsid w:val="006F43B2"/>
    <w:rsid w:val="006F4B11"/>
    <w:rsid w:val="006F5106"/>
    <w:rsid w:val="006F6A23"/>
    <w:rsid w:val="006F7029"/>
    <w:rsid w:val="006F74C6"/>
    <w:rsid w:val="007001D3"/>
    <w:rsid w:val="00700C75"/>
    <w:rsid w:val="00701C53"/>
    <w:rsid w:val="00701F56"/>
    <w:rsid w:val="0070221C"/>
    <w:rsid w:val="007035D2"/>
    <w:rsid w:val="0070381D"/>
    <w:rsid w:val="00703F97"/>
    <w:rsid w:val="00705118"/>
    <w:rsid w:val="007060D5"/>
    <w:rsid w:val="0070792D"/>
    <w:rsid w:val="0071092C"/>
    <w:rsid w:val="00711349"/>
    <w:rsid w:val="007113CB"/>
    <w:rsid w:val="00711EB8"/>
    <w:rsid w:val="007121E4"/>
    <w:rsid w:val="00713B07"/>
    <w:rsid w:val="0071736D"/>
    <w:rsid w:val="0072087A"/>
    <w:rsid w:val="00720D5F"/>
    <w:rsid w:val="0072108A"/>
    <w:rsid w:val="00722F2D"/>
    <w:rsid w:val="00727EAA"/>
    <w:rsid w:val="0073212E"/>
    <w:rsid w:val="007322FC"/>
    <w:rsid w:val="00734123"/>
    <w:rsid w:val="00735218"/>
    <w:rsid w:val="00735FD9"/>
    <w:rsid w:val="00736533"/>
    <w:rsid w:val="007366E0"/>
    <w:rsid w:val="00737E7A"/>
    <w:rsid w:val="007412C6"/>
    <w:rsid w:val="007418B0"/>
    <w:rsid w:val="00742A9C"/>
    <w:rsid w:val="00742EFE"/>
    <w:rsid w:val="0074602C"/>
    <w:rsid w:val="00752CAF"/>
    <w:rsid w:val="007531CF"/>
    <w:rsid w:val="007532A9"/>
    <w:rsid w:val="00753689"/>
    <w:rsid w:val="00753E89"/>
    <w:rsid w:val="00754275"/>
    <w:rsid w:val="00754908"/>
    <w:rsid w:val="0075549A"/>
    <w:rsid w:val="00755BFC"/>
    <w:rsid w:val="00755F79"/>
    <w:rsid w:val="00760F07"/>
    <w:rsid w:val="00761F18"/>
    <w:rsid w:val="00762B56"/>
    <w:rsid w:val="00764141"/>
    <w:rsid w:val="00765E6D"/>
    <w:rsid w:val="0076646B"/>
    <w:rsid w:val="00766C76"/>
    <w:rsid w:val="00770834"/>
    <w:rsid w:val="007719A3"/>
    <w:rsid w:val="00771AC2"/>
    <w:rsid w:val="00772FA6"/>
    <w:rsid w:val="00773217"/>
    <w:rsid w:val="0077415B"/>
    <w:rsid w:val="00775AA2"/>
    <w:rsid w:val="0078002C"/>
    <w:rsid w:val="0078413A"/>
    <w:rsid w:val="00790507"/>
    <w:rsid w:val="00791698"/>
    <w:rsid w:val="00792125"/>
    <w:rsid w:val="00793945"/>
    <w:rsid w:val="00795004"/>
    <w:rsid w:val="0079617D"/>
    <w:rsid w:val="00797A1A"/>
    <w:rsid w:val="007A1BF9"/>
    <w:rsid w:val="007A1E80"/>
    <w:rsid w:val="007A2D23"/>
    <w:rsid w:val="007A46B7"/>
    <w:rsid w:val="007A5695"/>
    <w:rsid w:val="007A5A39"/>
    <w:rsid w:val="007A5C3E"/>
    <w:rsid w:val="007A72E2"/>
    <w:rsid w:val="007A76E4"/>
    <w:rsid w:val="007B1769"/>
    <w:rsid w:val="007B19D7"/>
    <w:rsid w:val="007B226F"/>
    <w:rsid w:val="007B371B"/>
    <w:rsid w:val="007B56DB"/>
    <w:rsid w:val="007C0B68"/>
    <w:rsid w:val="007C2389"/>
    <w:rsid w:val="007C615D"/>
    <w:rsid w:val="007C7EEB"/>
    <w:rsid w:val="007D0172"/>
    <w:rsid w:val="007D0AE9"/>
    <w:rsid w:val="007D1651"/>
    <w:rsid w:val="007D1E7D"/>
    <w:rsid w:val="007D210F"/>
    <w:rsid w:val="007D26A8"/>
    <w:rsid w:val="007D37AA"/>
    <w:rsid w:val="007E4996"/>
    <w:rsid w:val="007E4ECC"/>
    <w:rsid w:val="007E589B"/>
    <w:rsid w:val="007F00AB"/>
    <w:rsid w:val="007F108C"/>
    <w:rsid w:val="007F182A"/>
    <w:rsid w:val="007F1B33"/>
    <w:rsid w:val="007F223A"/>
    <w:rsid w:val="007F3333"/>
    <w:rsid w:val="007F35BE"/>
    <w:rsid w:val="007F3AF0"/>
    <w:rsid w:val="007F47C6"/>
    <w:rsid w:val="007F4DB6"/>
    <w:rsid w:val="007F50DA"/>
    <w:rsid w:val="007F542D"/>
    <w:rsid w:val="007F6CC9"/>
    <w:rsid w:val="00800510"/>
    <w:rsid w:val="0080179B"/>
    <w:rsid w:val="0080378C"/>
    <w:rsid w:val="00806F2C"/>
    <w:rsid w:val="00810E05"/>
    <w:rsid w:val="00811A63"/>
    <w:rsid w:val="00812CF2"/>
    <w:rsid w:val="008138E8"/>
    <w:rsid w:val="00813B6A"/>
    <w:rsid w:val="00814681"/>
    <w:rsid w:val="00814AB7"/>
    <w:rsid w:val="00817039"/>
    <w:rsid w:val="00817391"/>
    <w:rsid w:val="008173CF"/>
    <w:rsid w:val="00817832"/>
    <w:rsid w:val="00817ADB"/>
    <w:rsid w:val="00817B8C"/>
    <w:rsid w:val="00821877"/>
    <w:rsid w:val="00825530"/>
    <w:rsid w:val="0082654E"/>
    <w:rsid w:val="00831AA2"/>
    <w:rsid w:val="00832C87"/>
    <w:rsid w:val="008339B4"/>
    <w:rsid w:val="008340B5"/>
    <w:rsid w:val="00834B24"/>
    <w:rsid w:val="0083517F"/>
    <w:rsid w:val="00837C16"/>
    <w:rsid w:val="00844892"/>
    <w:rsid w:val="00846614"/>
    <w:rsid w:val="0084767D"/>
    <w:rsid w:val="00847E9C"/>
    <w:rsid w:val="0085163B"/>
    <w:rsid w:val="00853161"/>
    <w:rsid w:val="00853BFB"/>
    <w:rsid w:val="008544A9"/>
    <w:rsid w:val="00854C59"/>
    <w:rsid w:val="00854DF1"/>
    <w:rsid w:val="00855FF5"/>
    <w:rsid w:val="008603DE"/>
    <w:rsid w:val="00860570"/>
    <w:rsid w:val="0086082D"/>
    <w:rsid w:val="0086283C"/>
    <w:rsid w:val="008631EF"/>
    <w:rsid w:val="00863529"/>
    <w:rsid w:val="00865BAF"/>
    <w:rsid w:val="00867709"/>
    <w:rsid w:val="00867B61"/>
    <w:rsid w:val="00867FD6"/>
    <w:rsid w:val="008712D7"/>
    <w:rsid w:val="008732EC"/>
    <w:rsid w:val="0087593C"/>
    <w:rsid w:val="00876532"/>
    <w:rsid w:val="00876B2B"/>
    <w:rsid w:val="0087775A"/>
    <w:rsid w:val="0088081E"/>
    <w:rsid w:val="00880E6F"/>
    <w:rsid w:val="008827F5"/>
    <w:rsid w:val="0088283E"/>
    <w:rsid w:val="00882F0D"/>
    <w:rsid w:val="008844CC"/>
    <w:rsid w:val="0088569D"/>
    <w:rsid w:val="008879E1"/>
    <w:rsid w:val="0089033D"/>
    <w:rsid w:val="0089041B"/>
    <w:rsid w:val="00890A28"/>
    <w:rsid w:val="00892722"/>
    <w:rsid w:val="008943C3"/>
    <w:rsid w:val="008948A4"/>
    <w:rsid w:val="008949A0"/>
    <w:rsid w:val="00896F62"/>
    <w:rsid w:val="008A0E4A"/>
    <w:rsid w:val="008A1D62"/>
    <w:rsid w:val="008A21F6"/>
    <w:rsid w:val="008A265D"/>
    <w:rsid w:val="008A355D"/>
    <w:rsid w:val="008A4BD8"/>
    <w:rsid w:val="008A5588"/>
    <w:rsid w:val="008A62DE"/>
    <w:rsid w:val="008A64F6"/>
    <w:rsid w:val="008B02B4"/>
    <w:rsid w:val="008B082E"/>
    <w:rsid w:val="008B0BB4"/>
    <w:rsid w:val="008B1276"/>
    <w:rsid w:val="008B1B2F"/>
    <w:rsid w:val="008B218E"/>
    <w:rsid w:val="008B24EA"/>
    <w:rsid w:val="008B27B6"/>
    <w:rsid w:val="008B36FB"/>
    <w:rsid w:val="008B3B1D"/>
    <w:rsid w:val="008B47F5"/>
    <w:rsid w:val="008B4D14"/>
    <w:rsid w:val="008B5790"/>
    <w:rsid w:val="008B6BBA"/>
    <w:rsid w:val="008B6CB8"/>
    <w:rsid w:val="008C0C1D"/>
    <w:rsid w:val="008C3016"/>
    <w:rsid w:val="008C48BD"/>
    <w:rsid w:val="008C7E3B"/>
    <w:rsid w:val="008D0D98"/>
    <w:rsid w:val="008D1F18"/>
    <w:rsid w:val="008D4CEA"/>
    <w:rsid w:val="008D4E66"/>
    <w:rsid w:val="008D5944"/>
    <w:rsid w:val="008E0E2F"/>
    <w:rsid w:val="008E1B3B"/>
    <w:rsid w:val="008E2430"/>
    <w:rsid w:val="008E3DBE"/>
    <w:rsid w:val="008E4069"/>
    <w:rsid w:val="008E4A52"/>
    <w:rsid w:val="008E6CB1"/>
    <w:rsid w:val="008E713D"/>
    <w:rsid w:val="008E7A4C"/>
    <w:rsid w:val="008F35D8"/>
    <w:rsid w:val="008F3879"/>
    <w:rsid w:val="008F4A12"/>
    <w:rsid w:val="008F653E"/>
    <w:rsid w:val="00901563"/>
    <w:rsid w:val="00901FDC"/>
    <w:rsid w:val="00903D65"/>
    <w:rsid w:val="00903FC6"/>
    <w:rsid w:val="00907B23"/>
    <w:rsid w:val="00910807"/>
    <w:rsid w:val="00910AE1"/>
    <w:rsid w:val="00910FC8"/>
    <w:rsid w:val="009128A9"/>
    <w:rsid w:val="009152B2"/>
    <w:rsid w:val="00915875"/>
    <w:rsid w:val="00916B61"/>
    <w:rsid w:val="009179F6"/>
    <w:rsid w:val="00925D78"/>
    <w:rsid w:val="00926BCB"/>
    <w:rsid w:val="00926DA5"/>
    <w:rsid w:val="00927F05"/>
    <w:rsid w:val="00932077"/>
    <w:rsid w:val="0093665B"/>
    <w:rsid w:val="009377FF"/>
    <w:rsid w:val="0094011A"/>
    <w:rsid w:val="00940A7F"/>
    <w:rsid w:val="00940A83"/>
    <w:rsid w:val="00941B66"/>
    <w:rsid w:val="00945224"/>
    <w:rsid w:val="00945528"/>
    <w:rsid w:val="00951575"/>
    <w:rsid w:val="0095446B"/>
    <w:rsid w:val="00955306"/>
    <w:rsid w:val="009565B7"/>
    <w:rsid w:val="00957219"/>
    <w:rsid w:val="0095764F"/>
    <w:rsid w:val="00957B47"/>
    <w:rsid w:val="00960B34"/>
    <w:rsid w:val="009612F7"/>
    <w:rsid w:val="00962651"/>
    <w:rsid w:val="00963102"/>
    <w:rsid w:val="0096673E"/>
    <w:rsid w:val="00967946"/>
    <w:rsid w:val="00971DC0"/>
    <w:rsid w:val="009746D9"/>
    <w:rsid w:val="00975029"/>
    <w:rsid w:val="009764C1"/>
    <w:rsid w:val="0097797B"/>
    <w:rsid w:val="009810F8"/>
    <w:rsid w:val="00982018"/>
    <w:rsid w:val="00984AA4"/>
    <w:rsid w:val="00985013"/>
    <w:rsid w:val="009869D4"/>
    <w:rsid w:val="00986E27"/>
    <w:rsid w:val="009905DC"/>
    <w:rsid w:val="009910A1"/>
    <w:rsid w:val="0099159A"/>
    <w:rsid w:val="00992187"/>
    <w:rsid w:val="0099337E"/>
    <w:rsid w:val="00994D0A"/>
    <w:rsid w:val="00995FCC"/>
    <w:rsid w:val="009A0EC5"/>
    <w:rsid w:val="009A1392"/>
    <w:rsid w:val="009A1D20"/>
    <w:rsid w:val="009A28AD"/>
    <w:rsid w:val="009A2ECC"/>
    <w:rsid w:val="009A3757"/>
    <w:rsid w:val="009A62BE"/>
    <w:rsid w:val="009A673A"/>
    <w:rsid w:val="009A673D"/>
    <w:rsid w:val="009A7534"/>
    <w:rsid w:val="009B06D9"/>
    <w:rsid w:val="009B14A0"/>
    <w:rsid w:val="009B1A4D"/>
    <w:rsid w:val="009B1F9A"/>
    <w:rsid w:val="009B1FFA"/>
    <w:rsid w:val="009B3CEA"/>
    <w:rsid w:val="009B68C0"/>
    <w:rsid w:val="009B6BDF"/>
    <w:rsid w:val="009B72E0"/>
    <w:rsid w:val="009B7CCE"/>
    <w:rsid w:val="009C081E"/>
    <w:rsid w:val="009C1275"/>
    <w:rsid w:val="009C1647"/>
    <w:rsid w:val="009C1FAA"/>
    <w:rsid w:val="009C3EAC"/>
    <w:rsid w:val="009C4A3A"/>
    <w:rsid w:val="009C4DD0"/>
    <w:rsid w:val="009C4EDD"/>
    <w:rsid w:val="009C5583"/>
    <w:rsid w:val="009C5E6F"/>
    <w:rsid w:val="009C634F"/>
    <w:rsid w:val="009C71BB"/>
    <w:rsid w:val="009C73CA"/>
    <w:rsid w:val="009C7852"/>
    <w:rsid w:val="009C78BD"/>
    <w:rsid w:val="009C795B"/>
    <w:rsid w:val="009D0517"/>
    <w:rsid w:val="009D10E4"/>
    <w:rsid w:val="009D1618"/>
    <w:rsid w:val="009D37B3"/>
    <w:rsid w:val="009D3A0F"/>
    <w:rsid w:val="009D460E"/>
    <w:rsid w:val="009D5B55"/>
    <w:rsid w:val="009E394C"/>
    <w:rsid w:val="009E4C02"/>
    <w:rsid w:val="009E4E68"/>
    <w:rsid w:val="009E514E"/>
    <w:rsid w:val="009E55B9"/>
    <w:rsid w:val="009E59CB"/>
    <w:rsid w:val="009E5D2F"/>
    <w:rsid w:val="009E5D65"/>
    <w:rsid w:val="009E713A"/>
    <w:rsid w:val="009E7A05"/>
    <w:rsid w:val="009E7E8E"/>
    <w:rsid w:val="009F03D1"/>
    <w:rsid w:val="009F2D76"/>
    <w:rsid w:val="009F308D"/>
    <w:rsid w:val="009F4327"/>
    <w:rsid w:val="009F5F9D"/>
    <w:rsid w:val="009F6712"/>
    <w:rsid w:val="009F7A38"/>
    <w:rsid w:val="009F7C42"/>
    <w:rsid w:val="00A00A7D"/>
    <w:rsid w:val="00A03102"/>
    <w:rsid w:val="00A043DD"/>
    <w:rsid w:val="00A04AAC"/>
    <w:rsid w:val="00A05394"/>
    <w:rsid w:val="00A057FE"/>
    <w:rsid w:val="00A059FD"/>
    <w:rsid w:val="00A05B73"/>
    <w:rsid w:val="00A0722D"/>
    <w:rsid w:val="00A12301"/>
    <w:rsid w:val="00A13229"/>
    <w:rsid w:val="00A137DA"/>
    <w:rsid w:val="00A13E60"/>
    <w:rsid w:val="00A13ECF"/>
    <w:rsid w:val="00A14357"/>
    <w:rsid w:val="00A1562F"/>
    <w:rsid w:val="00A15D26"/>
    <w:rsid w:val="00A16546"/>
    <w:rsid w:val="00A16D14"/>
    <w:rsid w:val="00A178B3"/>
    <w:rsid w:val="00A2052D"/>
    <w:rsid w:val="00A205CD"/>
    <w:rsid w:val="00A2087F"/>
    <w:rsid w:val="00A20A0C"/>
    <w:rsid w:val="00A20BC8"/>
    <w:rsid w:val="00A21145"/>
    <w:rsid w:val="00A2117C"/>
    <w:rsid w:val="00A23402"/>
    <w:rsid w:val="00A260C7"/>
    <w:rsid w:val="00A26352"/>
    <w:rsid w:val="00A27733"/>
    <w:rsid w:val="00A279E3"/>
    <w:rsid w:val="00A31957"/>
    <w:rsid w:val="00A334C2"/>
    <w:rsid w:val="00A33690"/>
    <w:rsid w:val="00A3562B"/>
    <w:rsid w:val="00A35EDA"/>
    <w:rsid w:val="00A41173"/>
    <w:rsid w:val="00A414B8"/>
    <w:rsid w:val="00A41843"/>
    <w:rsid w:val="00A43733"/>
    <w:rsid w:val="00A44410"/>
    <w:rsid w:val="00A44BF4"/>
    <w:rsid w:val="00A461EA"/>
    <w:rsid w:val="00A50CC1"/>
    <w:rsid w:val="00A51C9C"/>
    <w:rsid w:val="00A534F0"/>
    <w:rsid w:val="00A55558"/>
    <w:rsid w:val="00A555DE"/>
    <w:rsid w:val="00A562AD"/>
    <w:rsid w:val="00A572EA"/>
    <w:rsid w:val="00A60513"/>
    <w:rsid w:val="00A61910"/>
    <w:rsid w:val="00A63635"/>
    <w:rsid w:val="00A65767"/>
    <w:rsid w:val="00A736B4"/>
    <w:rsid w:val="00A73A46"/>
    <w:rsid w:val="00A73CA9"/>
    <w:rsid w:val="00A73D97"/>
    <w:rsid w:val="00A76154"/>
    <w:rsid w:val="00A776FF"/>
    <w:rsid w:val="00A838ED"/>
    <w:rsid w:val="00A84052"/>
    <w:rsid w:val="00A847FB"/>
    <w:rsid w:val="00A85353"/>
    <w:rsid w:val="00A85AB0"/>
    <w:rsid w:val="00A85BD8"/>
    <w:rsid w:val="00A85D3B"/>
    <w:rsid w:val="00A86596"/>
    <w:rsid w:val="00A86623"/>
    <w:rsid w:val="00A86D44"/>
    <w:rsid w:val="00A91B9E"/>
    <w:rsid w:val="00A934A4"/>
    <w:rsid w:val="00A9466D"/>
    <w:rsid w:val="00A94F0A"/>
    <w:rsid w:val="00A95853"/>
    <w:rsid w:val="00A95C20"/>
    <w:rsid w:val="00A95E90"/>
    <w:rsid w:val="00A960F6"/>
    <w:rsid w:val="00A961ED"/>
    <w:rsid w:val="00A97978"/>
    <w:rsid w:val="00AA0A37"/>
    <w:rsid w:val="00AA347A"/>
    <w:rsid w:val="00AA3510"/>
    <w:rsid w:val="00AA405B"/>
    <w:rsid w:val="00AA4EF4"/>
    <w:rsid w:val="00AA6671"/>
    <w:rsid w:val="00AA6F33"/>
    <w:rsid w:val="00AB33B6"/>
    <w:rsid w:val="00AB42F6"/>
    <w:rsid w:val="00AB4868"/>
    <w:rsid w:val="00AB584F"/>
    <w:rsid w:val="00AB5C11"/>
    <w:rsid w:val="00AB79E8"/>
    <w:rsid w:val="00AC0F10"/>
    <w:rsid w:val="00AC0F78"/>
    <w:rsid w:val="00AC11E6"/>
    <w:rsid w:val="00AC2BC8"/>
    <w:rsid w:val="00AC5EDF"/>
    <w:rsid w:val="00AC6737"/>
    <w:rsid w:val="00AC7A38"/>
    <w:rsid w:val="00AD049B"/>
    <w:rsid w:val="00AD5B79"/>
    <w:rsid w:val="00AD7EE3"/>
    <w:rsid w:val="00AE138E"/>
    <w:rsid w:val="00AE1650"/>
    <w:rsid w:val="00AE2076"/>
    <w:rsid w:val="00AE2560"/>
    <w:rsid w:val="00AE36FD"/>
    <w:rsid w:val="00AE4E7F"/>
    <w:rsid w:val="00AE56FA"/>
    <w:rsid w:val="00AE78E8"/>
    <w:rsid w:val="00AE7C6F"/>
    <w:rsid w:val="00AF0BC1"/>
    <w:rsid w:val="00AF0E86"/>
    <w:rsid w:val="00AF1580"/>
    <w:rsid w:val="00AF1A6E"/>
    <w:rsid w:val="00AF2323"/>
    <w:rsid w:val="00AF2F7F"/>
    <w:rsid w:val="00AF31D0"/>
    <w:rsid w:val="00AF4373"/>
    <w:rsid w:val="00AF56BE"/>
    <w:rsid w:val="00AF5DAD"/>
    <w:rsid w:val="00B00AEB"/>
    <w:rsid w:val="00B00FFA"/>
    <w:rsid w:val="00B01B5C"/>
    <w:rsid w:val="00B0452E"/>
    <w:rsid w:val="00B047C7"/>
    <w:rsid w:val="00B04A9F"/>
    <w:rsid w:val="00B072C2"/>
    <w:rsid w:val="00B102A1"/>
    <w:rsid w:val="00B11DBA"/>
    <w:rsid w:val="00B12620"/>
    <w:rsid w:val="00B15EC9"/>
    <w:rsid w:val="00B17613"/>
    <w:rsid w:val="00B20699"/>
    <w:rsid w:val="00B2222E"/>
    <w:rsid w:val="00B23493"/>
    <w:rsid w:val="00B239FD"/>
    <w:rsid w:val="00B2542E"/>
    <w:rsid w:val="00B25555"/>
    <w:rsid w:val="00B25618"/>
    <w:rsid w:val="00B2690D"/>
    <w:rsid w:val="00B26A75"/>
    <w:rsid w:val="00B26AE2"/>
    <w:rsid w:val="00B3131D"/>
    <w:rsid w:val="00B34462"/>
    <w:rsid w:val="00B34693"/>
    <w:rsid w:val="00B3573B"/>
    <w:rsid w:val="00B36A6E"/>
    <w:rsid w:val="00B40315"/>
    <w:rsid w:val="00B40B89"/>
    <w:rsid w:val="00B40BA1"/>
    <w:rsid w:val="00B410A7"/>
    <w:rsid w:val="00B42455"/>
    <w:rsid w:val="00B44021"/>
    <w:rsid w:val="00B44234"/>
    <w:rsid w:val="00B457DC"/>
    <w:rsid w:val="00B50617"/>
    <w:rsid w:val="00B51227"/>
    <w:rsid w:val="00B51C24"/>
    <w:rsid w:val="00B5203C"/>
    <w:rsid w:val="00B52E93"/>
    <w:rsid w:val="00B5307A"/>
    <w:rsid w:val="00B54B2E"/>
    <w:rsid w:val="00B55451"/>
    <w:rsid w:val="00B576CA"/>
    <w:rsid w:val="00B57A30"/>
    <w:rsid w:val="00B57FBF"/>
    <w:rsid w:val="00B602D4"/>
    <w:rsid w:val="00B60B52"/>
    <w:rsid w:val="00B62C7E"/>
    <w:rsid w:val="00B634F8"/>
    <w:rsid w:val="00B6517E"/>
    <w:rsid w:val="00B6522E"/>
    <w:rsid w:val="00B66E56"/>
    <w:rsid w:val="00B672D9"/>
    <w:rsid w:val="00B6737A"/>
    <w:rsid w:val="00B702E7"/>
    <w:rsid w:val="00B72AF0"/>
    <w:rsid w:val="00B73BA8"/>
    <w:rsid w:val="00B749F0"/>
    <w:rsid w:val="00B74B3C"/>
    <w:rsid w:val="00B75ADD"/>
    <w:rsid w:val="00B769A3"/>
    <w:rsid w:val="00B7735A"/>
    <w:rsid w:val="00B80022"/>
    <w:rsid w:val="00B8024D"/>
    <w:rsid w:val="00B82837"/>
    <w:rsid w:val="00B84B05"/>
    <w:rsid w:val="00B852B2"/>
    <w:rsid w:val="00B86902"/>
    <w:rsid w:val="00B87BF6"/>
    <w:rsid w:val="00B90DF0"/>
    <w:rsid w:val="00B91D49"/>
    <w:rsid w:val="00B936FC"/>
    <w:rsid w:val="00B94F9D"/>
    <w:rsid w:val="00B95095"/>
    <w:rsid w:val="00B95A66"/>
    <w:rsid w:val="00BA04DA"/>
    <w:rsid w:val="00BA0F9A"/>
    <w:rsid w:val="00BA203D"/>
    <w:rsid w:val="00BA243F"/>
    <w:rsid w:val="00BA24F2"/>
    <w:rsid w:val="00BA36A3"/>
    <w:rsid w:val="00BA6346"/>
    <w:rsid w:val="00BB1B5A"/>
    <w:rsid w:val="00BB423E"/>
    <w:rsid w:val="00BB5370"/>
    <w:rsid w:val="00BB5725"/>
    <w:rsid w:val="00BB66E5"/>
    <w:rsid w:val="00BB7071"/>
    <w:rsid w:val="00BC4CF0"/>
    <w:rsid w:val="00BC4FFC"/>
    <w:rsid w:val="00BD0598"/>
    <w:rsid w:val="00BD1A1B"/>
    <w:rsid w:val="00BD1A33"/>
    <w:rsid w:val="00BD1BAC"/>
    <w:rsid w:val="00BD1BD8"/>
    <w:rsid w:val="00BD227E"/>
    <w:rsid w:val="00BD2983"/>
    <w:rsid w:val="00BD3C24"/>
    <w:rsid w:val="00BD5A0D"/>
    <w:rsid w:val="00BD5F30"/>
    <w:rsid w:val="00BD7498"/>
    <w:rsid w:val="00BE1773"/>
    <w:rsid w:val="00BE27E0"/>
    <w:rsid w:val="00BE2F45"/>
    <w:rsid w:val="00BE5C4F"/>
    <w:rsid w:val="00BF0277"/>
    <w:rsid w:val="00BF0F5A"/>
    <w:rsid w:val="00BF1224"/>
    <w:rsid w:val="00BF1566"/>
    <w:rsid w:val="00BF2323"/>
    <w:rsid w:val="00BF2C8F"/>
    <w:rsid w:val="00BF2CEB"/>
    <w:rsid w:val="00BF30DD"/>
    <w:rsid w:val="00BF3F5E"/>
    <w:rsid w:val="00BF5739"/>
    <w:rsid w:val="00BF5D8B"/>
    <w:rsid w:val="00BF6289"/>
    <w:rsid w:val="00BF6C77"/>
    <w:rsid w:val="00C00F70"/>
    <w:rsid w:val="00C02D33"/>
    <w:rsid w:val="00C02FB1"/>
    <w:rsid w:val="00C04752"/>
    <w:rsid w:val="00C06F4B"/>
    <w:rsid w:val="00C07B92"/>
    <w:rsid w:val="00C112E5"/>
    <w:rsid w:val="00C1236B"/>
    <w:rsid w:val="00C1302C"/>
    <w:rsid w:val="00C1618C"/>
    <w:rsid w:val="00C164CF"/>
    <w:rsid w:val="00C17139"/>
    <w:rsid w:val="00C17C37"/>
    <w:rsid w:val="00C20C9F"/>
    <w:rsid w:val="00C24F17"/>
    <w:rsid w:val="00C25B05"/>
    <w:rsid w:val="00C261F6"/>
    <w:rsid w:val="00C27031"/>
    <w:rsid w:val="00C30D69"/>
    <w:rsid w:val="00C31175"/>
    <w:rsid w:val="00C318D1"/>
    <w:rsid w:val="00C32498"/>
    <w:rsid w:val="00C32870"/>
    <w:rsid w:val="00C32E8B"/>
    <w:rsid w:val="00C33D1D"/>
    <w:rsid w:val="00C34A0A"/>
    <w:rsid w:val="00C353B4"/>
    <w:rsid w:val="00C35C0E"/>
    <w:rsid w:val="00C370F9"/>
    <w:rsid w:val="00C372F2"/>
    <w:rsid w:val="00C416A6"/>
    <w:rsid w:val="00C42E17"/>
    <w:rsid w:val="00C43B68"/>
    <w:rsid w:val="00C44198"/>
    <w:rsid w:val="00C44341"/>
    <w:rsid w:val="00C448C7"/>
    <w:rsid w:val="00C47DA4"/>
    <w:rsid w:val="00C5059D"/>
    <w:rsid w:val="00C50E74"/>
    <w:rsid w:val="00C511EC"/>
    <w:rsid w:val="00C51A91"/>
    <w:rsid w:val="00C528A8"/>
    <w:rsid w:val="00C52C29"/>
    <w:rsid w:val="00C52C7D"/>
    <w:rsid w:val="00C52F5E"/>
    <w:rsid w:val="00C56359"/>
    <w:rsid w:val="00C5650A"/>
    <w:rsid w:val="00C63ED8"/>
    <w:rsid w:val="00C6444E"/>
    <w:rsid w:val="00C65377"/>
    <w:rsid w:val="00C67474"/>
    <w:rsid w:val="00C71A18"/>
    <w:rsid w:val="00C728DE"/>
    <w:rsid w:val="00C73BAC"/>
    <w:rsid w:val="00C75752"/>
    <w:rsid w:val="00C75FD2"/>
    <w:rsid w:val="00C761B8"/>
    <w:rsid w:val="00C771F9"/>
    <w:rsid w:val="00C8117F"/>
    <w:rsid w:val="00C8195E"/>
    <w:rsid w:val="00C836D2"/>
    <w:rsid w:val="00C83CEA"/>
    <w:rsid w:val="00C8537E"/>
    <w:rsid w:val="00C85414"/>
    <w:rsid w:val="00C85840"/>
    <w:rsid w:val="00C85B59"/>
    <w:rsid w:val="00C860CA"/>
    <w:rsid w:val="00C879DA"/>
    <w:rsid w:val="00C87FC1"/>
    <w:rsid w:val="00C905EE"/>
    <w:rsid w:val="00C92F4B"/>
    <w:rsid w:val="00C933D7"/>
    <w:rsid w:val="00C936D7"/>
    <w:rsid w:val="00C93919"/>
    <w:rsid w:val="00C9391A"/>
    <w:rsid w:val="00C9635F"/>
    <w:rsid w:val="00CA06CA"/>
    <w:rsid w:val="00CA1678"/>
    <w:rsid w:val="00CA280D"/>
    <w:rsid w:val="00CA284D"/>
    <w:rsid w:val="00CA3185"/>
    <w:rsid w:val="00CA63AF"/>
    <w:rsid w:val="00CA6EE9"/>
    <w:rsid w:val="00CB21A5"/>
    <w:rsid w:val="00CB297B"/>
    <w:rsid w:val="00CB68BF"/>
    <w:rsid w:val="00CB744A"/>
    <w:rsid w:val="00CC13A0"/>
    <w:rsid w:val="00CC2915"/>
    <w:rsid w:val="00CC3EDF"/>
    <w:rsid w:val="00CC47EC"/>
    <w:rsid w:val="00CC4815"/>
    <w:rsid w:val="00CC50CA"/>
    <w:rsid w:val="00CC7BB9"/>
    <w:rsid w:val="00CD16DE"/>
    <w:rsid w:val="00CD2165"/>
    <w:rsid w:val="00CD47BE"/>
    <w:rsid w:val="00CD5FB6"/>
    <w:rsid w:val="00CD6B7D"/>
    <w:rsid w:val="00CE1868"/>
    <w:rsid w:val="00CE4428"/>
    <w:rsid w:val="00CE45FC"/>
    <w:rsid w:val="00CE6696"/>
    <w:rsid w:val="00CE670B"/>
    <w:rsid w:val="00CE7220"/>
    <w:rsid w:val="00CF08B3"/>
    <w:rsid w:val="00CF0954"/>
    <w:rsid w:val="00CF09B2"/>
    <w:rsid w:val="00CF210D"/>
    <w:rsid w:val="00CF3D8F"/>
    <w:rsid w:val="00CF58D3"/>
    <w:rsid w:val="00CF6391"/>
    <w:rsid w:val="00CF673A"/>
    <w:rsid w:val="00CF7EBD"/>
    <w:rsid w:val="00D00086"/>
    <w:rsid w:val="00D0063B"/>
    <w:rsid w:val="00D00786"/>
    <w:rsid w:val="00D00882"/>
    <w:rsid w:val="00D02009"/>
    <w:rsid w:val="00D02B51"/>
    <w:rsid w:val="00D063A7"/>
    <w:rsid w:val="00D06E84"/>
    <w:rsid w:val="00D06FE9"/>
    <w:rsid w:val="00D111C7"/>
    <w:rsid w:val="00D11799"/>
    <w:rsid w:val="00D121A8"/>
    <w:rsid w:val="00D134F5"/>
    <w:rsid w:val="00D17EE5"/>
    <w:rsid w:val="00D17F60"/>
    <w:rsid w:val="00D212F1"/>
    <w:rsid w:val="00D21FEC"/>
    <w:rsid w:val="00D2316D"/>
    <w:rsid w:val="00D26176"/>
    <w:rsid w:val="00D2666E"/>
    <w:rsid w:val="00D30953"/>
    <w:rsid w:val="00D31BD6"/>
    <w:rsid w:val="00D329A1"/>
    <w:rsid w:val="00D338CD"/>
    <w:rsid w:val="00D3473F"/>
    <w:rsid w:val="00D36C5C"/>
    <w:rsid w:val="00D36CCC"/>
    <w:rsid w:val="00D40642"/>
    <w:rsid w:val="00D40B3B"/>
    <w:rsid w:val="00D42BB1"/>
    <w:rsid w:val="00D43152"/>
    <w:rsid w:val="00D43E11"/>
    <w:rsid w:val="00D443F0"/>
    <w:rsid w:val="00D44645"/>
    <w:rsid w:val="00D46284"/>
    <w:rsid w:val="00D462EE"/>
    <w:rsid w:val="00D46564"/>
    <w:rsid w:val="00D47445"/>
    <w:rsid w:val="00D5159B"/>
    <w:rsid w:val="00D52322"/>
    <w:rsid w:val="00D53373"/>
    <w:rsid w:val="00D538CA"/>
    <w:rsid w:val="00D54757"/>
    <w:rsid w:val="00D57270"/>
    <w:rsid w:val="00D612E1"/>
    <w:rsid w:val="00D635E8"/>
    <w:rsid w:val="00D64467"/>
    <w:rsid w:val="00D65592"/>
    <w:rsid w:val="00D6561C"/>
    <w:rsid w:val="00D65F1D"/>
    <w:rsid w:val="00D66E6C"/>
    <w:rsid w:val="00D709B8"/>
    <w:rsid w:val="00D70FA7"/>
    <w:rsid w:val="00D72813"/>
    <w:rsid w:val="00D74AB8"/>
    <w:rsid w:val="00D77796"/>
    <w:rsid w:val="00D81BC5"/>
    <w:rsid w:val="00D83092"/>
    <w:rsid w:val="00D842F8"/>
    <w:rsid w:val="00D84F49"/>
    <w:rsid w:val="00D85E98"/>
    <w:rsid w:val="00D86880"/>
    <w:rsid w:val="00D907A5"/>
    <w:rsid w:val="00D916E3"/>
    <w:rsid w:val="00D925DF"/>
    <w:rsid w:val="00D94145"/>
    <w:rsid w:val="00D94254"/>
    <w:rsid w:val="00D97E6E"/>
    <w:rsid w:val="00DA04CF"/>
    <w:rsid w:val="00DA2375"/>
    <w:rsid w:val="00DA2631"/>
    <w:rsid w:val="00DA4134"/>
    <w:rsid w:val="00DA62B7"/>
    <w:rsid w:val="00DA67CB"/>
    <w:rsid w:val="00DA6F73"/>
    <w:rsid w:val="00DA73ED"/>
    <w:rsid w:val="00DA7527"/>
    <w:rsid w:val="00DA7C8E"/>
    <w:rsid w:val="00DB157E"/>
    <w:rsid w:val="00DB1641"/>
    <w:rsid w:val="00DB2136"/>
    <w:rsid w:val="00DB4855"/>
    <w:rsid w:val="00DB5CD4"/>
    <w:rsid w:val="00DB601B"/>
    <w:rsid w:val="00DC0082"/>
    <w:rsid w:val="00DC07FB"/>
    <w:rsid w:val="00DC1889"/>
    <w:rsid w:val="00DC1AFD"/>
    <w:rsid w:val="00DC3C12"/>
    <w:rsid w:val="00DC3CB1"/>
    <w:rsid w:val="00DC4024"/>
    <w:rsid w:val="00DC4FE1"/>
    <w:rsid w:val="00DC54FC"/>
    <w:rsid w:val="00DD2B32"/>
    <w:rsid w:val="00DD2C41"/>
    <w:rsid w:val="00DD5DC2"/>
    <w:rsid w:val="00DD723D"/>
    <w:rsid w:val="00DD72F8"/>
    <w:rsid w:val="00DD77A0"/>
    <w:rsid w:val="00DD79C3"/>
    <w:rsid w:val="00DE0167"/>
    <w:rsid w:val="00DE021A"/>
    <w:rsid w:val="00DE087C"/>
    <w:rsid w:val="00DE0F9F"/>
    <w:rsid w:val="00DE2227"/>
    <w:rsid w:val="00DE3920"/>
    <w:rsid w:val="00DE45F1"/>
    <w:rsid w:val="00DE530A"/>
    <w:rsid w:val="00DE5CC0"/>
    <w:rsid w:val="00DE5E8E"/>
    <w:rsid w:val="00DE7140"/>
    <w:rsid w:val="00DF0004"/>
    <w:rsid w:val="00DF0013"/>
    <w:rsid w:val="00DF1087"/>
    <w:rsid w:val="00DF39A0"/>
    <w:rsid w:val="00DF4735"/>
    <w:rsid w:val="00DF5A0A"/>
    <w:rsid w:val="00DF6226"/>
    <w:rsid w:val="00DF6D8E"/>
    <w:rsid w:val="00DF6EBC"/>
    <w:rsid w:val="00DF74CC"/>
    <w:rsid w:val="00E002F8"/>
    <w:rsid w:val="00E0114A"/>
    <w:rsid w:val="00E02217"/>
    <w:rsid w:val="00E0229E"/>
    <w:rsid w:val="00E100DB"/>
    <w:rsid w:val="00E106A8"/>
    <w:rsid w:val="00E10FCD"/>
    <w:rsid w:val="00E11AC1"/>
    <w:rsid w:val="00E12A4B"/>
    <w:rsid w:val="00E135A3"/>
    <w:rsid w:val="00E16D94"/>
    <w:rsid w:val="00E1784D"/>
    <w:rsid w:val="00E179D7"/>
    <w:rsid w:val="00E17DD2"/>
    <w:rsid w:val="00E206A4"/>
    <w:rsid w:val="00E20CB8"/>
    <w:rsid w:val="00E21961"/>
    <w:rsid w:val="00E236A6"/>
    <w:rsid w:val="00E2448E"/>
    <w:rsid w:val="00E263D2"/>
    <w:rsid w:val="00E26D11"/>
    <w:rsid w:val="00E2700E"/>
    <w:rsid w:val="00E27495"/>
    <w:rsid w:val="00E316D2"/>
    <w:rsid w:val="00E3343D"/>
    <w:rsid w:val="00E334BD"/>
    <w:rsid w:val="00E33CF1"/>
    <w:rsid w:val="00E35319"/>
    <w:rsid w:val="00E36512"/>
    <w:rsid w:val="00E40631"/>
    <w:rsid w:val="00E40F69"/>
    <w:rsid w:val="00E42220"/>
    <w:rsid w:val="00E44430"/>
    <w:rsid w:val="00E447EB"/>
    <w:rsid w:val="00E4554C"/>
    <w:rsid w:val="00E46799"/>
    <w:rsid w:val="00E47C17"/>
    <w:rsid w:val="00E51E1B"/>
    <w:rsid w:val="00E52452"/>
    <w:rsid w:val="00E54A02"/>
    <w:rsid w:val="00E54E3A"/>
    <w:rsid w:val="00E55586"/>
    <w:rsid w:val="00E55917"/>
    <w:rsid w:val="00E55B3A"/>
    <w:rsid w:val="00E569F7"/>
    <w:rsid w:val="00E56D1F"/>
    <w:rsid w:val="00E576E4"/>
    <w:rsid w:val="00E57AD3"/>
    <w:rsid w:val="00E60B79"/>
    <w:rsid w:val="00E612CF"/>
    <w:rsid w:val="00E616CD"/>
    <w:rsid w:val="00E625B3"/>
    <w:rsid w:val="00E6344D"/>
    <w:rsid w:val="00E652B6"/>
    <w:rsid w:val="00E70842"/>
    <w:rsid w:val="00E710FE"/>
    <w:rsid w:val="00E72516"/>
    <w:rsid w:val="00E7283B"/>
    <w:rsid w:val="00E73B72"/>
    <w:rsid w:val="00E74C05"/>
    <w:rsid w:val="00E75B88"/>
    <w:rsid w:val="00E76535"/>
    <w:rsid w:val="00E80089"/>
    <w:rsid w:val="00E819DE"/>
    <w:rsid w:val="00E83377"/>
    <w:rsid w:val="00E84FF3"/>
    <w:rsid w:val="00E90499"/>
    <w:rsid w:val="00E90D6A"/>
    <w:rsid w:val="00E92C43"/>
    <w:rsid w:val="00E94392"/>
    <w:rsid w:val="00E952F3"/>
    <w:rsid w:val="00E969F0"/>
    <w:rsid w:val="00EA325F"/>
    <w:rsid w:val="00EA3ADB"/>
    <w:rsid w:val="00EB2FFF"/>
    <w:rsid w:val="00EB3918"/>
    <w:rsid w:val="00EB3AEB"/>
    <w:rsid w:val="00EB490B"/>
    <w:rsid w:val="00EB5279"/>
    <w:rsid w:val="00EB55F2"/>
    <w:rsid w:val="00EB5E43"/>
    <w:rsid w:val="00EC26A0"/>
    <w:rsid w:val="00EC734F"/>
    <w:rsid w:val="00ED1411"/>
    <w:rsid w:val="00ED286F"/>
    <w:rsid w:val="00ED2F84"/>
    <w:rsid w:val="00ED6FBD"/>
    <w:rsid w:val="00ED73B2"/>
    <w:rsid w:val="00ED7A35"/>
    <w:rsid w:val="00EE0538"/>
    <w:rsid w:val="00EE0638"/>
    <w:rsid w:val="00EE1FA1"/>
    <w:rsid w:val="00EE2FA4"/>
    <w:rsid w:val="00EE3293"/>
    <w:rsid w:val="00EE34EC"/>
    <w:rsid w:val="00EE4D38"/>
    <w:rsid w:val="00EE588A"/>
    <w:rsid w:val="00EE7BB5"/>
    <w:rsid w:val="00EF089A"/>
    <w:rsid w:val="00EF3ECC"/>
    <w:rsid w:val="00EF506C"/>
    <w:rsid w:val="00EF7012"/>
    <w:rsid w:val="00EF7674"/>
    <w:rsid w:val="00F009A7"/>
    <w:rsid w:val="00F01CC0"/>
    <w:rsid w:val="00F01EDB"/>
    <w:rsid w:val="00F03726"/>
    <w:rsid w:val="00F04684"/>
    <w:rsid w:val="00F07154"/>
    <w:rsid w:val="00F100A7"/>
    <w:rsid w:val="00F12A33"/>
    <w:rsid w:val="00F13933"/>
    <w:rsid w:val="00F13FC2"/>
    <w:rsid w:val="00F1628D"/>
    <w:rsid w:val="00F16A64"/>
    <w:rsid w:val="00F17249"/>
    <w:rsid w:val="00F209C5"/>
    <w:rsid w:val="00F22C36"/>
    <w:rsid w:val="00F2358A"/>
    <w:rsid w:val="00F264C6"/>
    <w:rsid w:val="00F27F5B"/>
    <w:rsid w:val="00F332F5"/>
    <w:rsid w:val="00F33509"/>
    <w:rsid w:val="00F34739"/>
    <w:rsid w:val="00F35405"/>
    <w:rsid w:val="00F35C36"/>
    <w:rsid w:val="00F4399A"/>
    <w:rsid w:val="00F4455B"/>
    <w:rsid w:val="00F45A01"/>
    <w:rsid w:val="00F50BAA"/>
    <w:rsid w:val="00F51B28"/>
    <w:rsid w:val="00F51C4F"/>
    <w:rsid w:val="00F52C50"/>
    <w:rsid w:val="00F5386A"/>
    <w:rsid w:val="00F55943"/>
    <w:rsid w:val="00F5718D"/>
    <w:rsid w:val="00F60311"/>
    <w:rsid w:val="00F603C3"/>
    <w:rsid w:val="00F60DCD"/>
    <w:rsid w:val="00F62D53"/>
    <w:rsid w:val="00F63016"/>
    <w:rsid w:val="00F6425F"/>
    <w:rsid w:val="00F6559D"/>
    <w:rsid w:val="00F660D7"/>
    <w:rsid w:val="00F675C2"/>
    <w:rsid w:val="00F702F3"/>
    <w:rsid w:val="00F70740"/>
    <w:rsid w:val="00F708D0"/>
    <w:rsid w:val="00F72ED5"/>
    <w:rsid w:val="00F73E7E"/>
    <w:rsid w:val="00F745D6"/>
    <w:rsid w:val="00F747BF"/>
    <w:rsid w:val="00F75B64"/>
    <w:rsid w:val="00F75C52"/>
    <w:rsid w:val="00F771A6"/>
    <w:rsid w:val="00F80849"/>
    <w:rsid w:val="00F81126"/>
    <w:rsid w:val="00F825D2"/>
    <w:rsid w:val="00F87BD9"/>
    <w:rsid w:val="00F90148"/>
    <w:rsid w:val="00F911B6"/>
    <w:rsid w:val="00F92355"/>
    <w:rsid w:val="00F92BB7"/>
    <w:rsid w:val="00F93679"/>
    <w:rsid w:val="00F94801"/>
    <w:rsid w:val="00F94CFF"/>
    <w:rsid w:val="00F9528F"/>
    <w:rsid w:val="00F95347"/>
    <w:rsid w:val="00F966D2"/>
    <w:rsid w:val="00F9755C"/>
    <w:rsid w:val="00F975A7"/>
    <w:rsid w:val="00F97E04"/>
    <w:rsid w:val="00FA0A00"/>
    <w:rsid w:val="00FA0BC8"/>
    <w:rsid w:val="00FA1692"/>
    <w:rsid w:val="00FA3550"/>
    <w:rsid w:val="00FA3A99"/>
    <w:rsid w:val="00FA4644"/>
    <w:rsid w:val="00FA51E4"/>
    <w:rsid w:val="00FA6846"/>
    <w:rsid w:val="00FB0E70"/>
    <w:rsid w:val="00FB13C8"/>
    <w:rsid w:val="00FB16A2"/>
    <w:rsid w:val="00FB184B"/>
    <w:rsid w:val="00FB2094"/>
    <w:rsid w:val="00FB212E"/>
    <w:rsid w:val="00FB33DC"/>
    <w:rsid w:val="00FB3C31"/>
    <w:rsid w:val="00FB4167"/>
    <w:rsid w:val="00FB4F66"/>
    <w:rsid w:val="00FB65B0"/>
    <w:rsid w:val="00FB7064"/>
    <w:rsid w:val="00FB74BE"/>
    <w:rsid w:val="00FC31D0"/>
    <w:rsid w:val="00FC4F5A"/>
    <w:rsid w:val="00FC51EB"/>
    <w:rsid w:val="00FC5430"/>
    <w:rsid w:val="00FC6EB1"/>
    <w:rsid w:val="00FD07D7"/>
    <w:rsid w:val="00FD0AF4"/>
    <w:rsid w:val="00FD2027"/>
    <w:rsid w:val="00FD2DE0"/>
    <w:rsid w:val="00FD347E"/>
    <w:rsid w:val="00FD37B5"/>
    <w:rsid w:val="00FD3EE5"/>
    <w:rsid w:val="00FD4CA0"/>
    <w:rsid w:val="00FD6546"/>
    <w:rsid w:val="00FD76A9"/>
    <w:rsid w:val="00FE0B86"/>
    <w:rsid w:val="00FE150A"/>
    <w:rsid w:val="00FE1718"/>
    <w:rsid w:val="00FE1E36"/>
    <w:rsid w:val="00FE2204"/>
    <w:rsid w:val="00FE2F9D"/>
    <w:rsid w:val="00FE393F"/>
    <w:rsid w:val="00FE4C3C"/>
    <w:rsid w:val="00FE6EBD"/>
    <w:rsid w:val="00FF12DC"/>
    <w:rsid w:val="00FF13F1"/>
    <w:rsid w:val="00FF2336"/>
    <w:rsid w:val="00FF40CD"/>
    <w:rsid w:val="00FF50BB"/>
    <w:rsid w:val="00FF6310"/>
    <w:rsid w:val="00FF7913"/>
    <w:rsid w:val="061D2B53"/>
    <w:rsid w:val="072611F2"/>
    <w:rsid w:val="08963A55"/>
    <w:rsid w:val="08E73CA4"/>
    <w:rsid w:val="09770149"/>
    <w:rsid w:val="0A855251"/>
    <w:rsid w:val="0ABE7223"/>
    <w:rsid w:val="0AF87BB2"/>
    <w:rsid w:val="0B80728B"/>
    <w:rsid w:val="0BFF379A"/>
    <w:rsid w:val="0EDFCE40"/>
    <w:rsid w:val="0EFF6FF7"/>
    <w:rsid w:val="0FD725BA"/>
    <w:rsid w:val="100E3218"/>
    <w:rsid w:val="112A7134"/>
    <w:rsid w:val="114859EB"/>
    <w:rsid w:val="125261A4"/>
    <w:rsid w:val="14BC65D6"/>
    <w:rsid w:val="1AC10B45"/>
    <w:rsid w:val="1E0B5D9A"/>
    <w:rsid w:val="1E3F373A"/>
    <w:rsid w:val="1F346B17"/>
    <w:rsid w:val="1F847897"/>
    <w:rsid w:val="212B1E6C"/>
    <w:rsid w:val="24642317"/>
    <w:rsid w:val="24E26124"/>
    <w:rsid w:val="24F31F54"/>
    <w:rsid w:val="25630D5C"/>
    <w:rsid w:val="25F00C04"/>
    <w:rsid w:val="2882670F"/>
    <w:rsid w:val="29E7371D"/>
    <w:rsid w:val="2BCC6B35"/>
    <w:rsid w:val="2F303A72"/>
    <w:rsid w:val="2FC92B5F"/>
    <w:rsid w:val="30E100BE"/>
    <w:rsid w:val="331A1AC0"/>
    <w:rsid w:val="35D7F312"/>
    <w:rsid w:val="363A4340"/>
    <w:rsid w:val="371D3576"/>
    <w:rsid w:val="37AEBAAA"/>
    <w:rsid w:val="38BE34D2"/>
    <w:rsid w:val="39354CA4"/>
    <w:rsid w:val="3B625201"/>
    <w:rsid w:val="3CFFCEF7"/>
    <w:rsid w:val="3D634E66"/>
    <w:rsid w:val="3DB35449"/>
    <w:rsid w:val="3E3B3BB2"/>
    <w:rsid w:val="3EB79B7F"/>
    <w:rsid w:val="3FDF5AB9"/>
    <w:rsid w:val="3FED6CC0"/>
    <w:rsid w:val="411A4D06"/>
    <w:rsid w:val="4173652C"/>
    <w:rsid w:val="42B1793F"/>
    <w:rsid w:val="43915FF9"/>
    <w:rsid w:val="44090A1F"/>
    <w:rsid w:val="451920EF"/>
    <w:rsid w:val="45D8C31F"/>
    <w:rsid w:val="46080E2F"/>
    <w:rsid w:val="467100A7"/>
    <w:rsid w:val="489C1BDF"/>
    <w:rsid w:val="49E25D34"/>
    <w:rsid w:val="4BBC6367"/>
    <w:rsid w:val="4D917005"/>
    <w:rsid w:val="4FFFE8E2"/>
    <w:rsid w:val="507B434D"/>
    <w:rsid w:val="50C56DF1"/>
    <w:rsid w:val="528B1DBA"/>
    <w:rsid w:val="530C28AD"/>
    <w:rsid w:val="54A74B15"/>
    <w:rsid w:val="573A432B"/>
    <w:rsid w:val="599276A9"/>
    <w:rsid w:val="5A863165"/>
    <w:rsid w:val="5EEFF724"/>
    <w:rsid w:val="60077A00"/>
    <w:rsid w:val="635F2E08"/>
    <w:rsid w:val="66A51CCA"/>
    <w:rsid w:val="68212E50"/>
    <w:rsid w:val="690130F7"/>
    <w:rsid w:val="69101074"/>
    <w:rsid w:val="69975DA1"/>
    <w:rsid w:val="69AA7512"/>
    <w:rsid w:val="6A4D11AE"/>
    <w:rsid w:val="6B6D27AF"/>
    <w:rsid w:val="6C895283"/>
    <w:rsid w:val="6D085D31"/>
    <w:rsid w:val="6D6012F0"/>
    <w:rsid w:val="6D7F542E"/>
    <w:rsid w:val="6F2B1064"/>
    <w:rsid w:val="6FF35D4F"/>
    <w:rsid w:val="6FFBB4A5"/>
    <w:rsid w:val="70E31A51"/>
    <w:rsid w:val="70F863FD"/>
    <w:rsid w:val="73940740"/>
    <w:rsid w:val="75BAD351"/>
    <w:rsid w:val="76CD2445"/>
    <w:rsid w:val="78BE14E9"/>
    <w:rsid w:val="79563701"/>
    <w:rsid w:val="79DE9181"/>
    <w:rsid w:val="7A0B6551"/>
    <w:rsid w:val="7AD3DA35"/>
    <w:rsid w:val="7B227EB0"/>
    <w:rsid w:val="7C3F5B06"/>
    <w:rsid w:val="7C7640DD"/>
    <w:rsid w:val="7D77F2C5"/>
    <w:rsid w:val="7D9960B7"/>
    <w:rsid w:val="7DBFFD13"/>
    <w:rsid w:val="7E738F7D"/>
    <w:rsid w:val="7ECB8BF8"/>
    <w:rsid w:val="7ED3CFE6"/>
    <w:rsid w:val="7FF22030"/>
    <w:rsid w:val="7FFF4B13"/>
    <w:rsid w:val="8EDE7BCE"/>
    <w:rsid w:val="8F73CDD1"/>
    <w:rsid w:val="9AFE4B65"/>
    <w:rsid w:val="A6FC195C"/>
    <w:rsid w:val="A7F740E3"/>
    <w:rsid w:val="AE9DFC15"/>
    <w:rsid w:val="B6E7B2F7"/>
    <w:rsid w:val="BA7B309B"/>
    <w:rsid w:val="BCFC9E8D"/>
    <w:rsid w:val="BEEB8B5A"/>
    <w:rsid w:val="CC173FBA"/>
    <w:rsid w:val="D7E71F1C"/>
    <w:rsid w:val="D82FCB21"/>
    <w:rsid w:val="EBFF6CE8"/>
    <w:rsid w:val="F177D366"/>
    <w:rsid w:val="F3D80C8B"/>
    <w:rsid w:val="F694AC79"/>
    <w:rsid w:val="F75DFDF2"/>
    <w:rsid w:val="FD2FBB9D"/>
    <w:rsid w:val="FEFBC979"/>
    <w:rsid w:val="FF57358E"/>
    <w:rsid w:val="FF5F68B6"/>
    <w:rsid w:val="FFAFFD47"/>
    <w:rsid w:val="FFFA9F7D"/>
    <w:rsid w:val="FFFDEF97"/>
    <w:rsid w:val="FFFFF5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qFormat="1" w:unhideWhenUsed="0" w:uiPriority="99" w:name="table of figures"/>
    <w:lsdException w:qFormat="1" w:unhideWhenUsed="0" w:uiPriority="99" w:semiHidden="0" w:name="envelope address"/>
    <w:lsdException w:qFormat="1" w:unhideWhenUsed="0" w:uiPriority="99" w:semiHidden="0" w:name="envelope return"/>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qFormat="1" w:unhideWhenUsed="0" w:uiPriority="99" w:name="table of authorities"/>
    <w:lsdException w:qFormat="1" w:unhideWhenUsed="0" w:uiPriority="99" w:name="macro"/>
    <w:lsdException w:qFormat="1" w:unhideWhenUsed="0"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pPr>
    <w:rPr>
      <w:rFonts w:ascii="Times New Roman" w:hAnsi="Times New Roman" w:eastAsia="宋体" w:cs="Times New Roman"/>
      <w:sz w:val="21"/>
      <w:szCs w:val="21"/>
      <w:lang w:val="en-US" w:eastAsia="zh-CN" w:bidi="ar-SA"/>
    </w:rPr>
  </w:style>
  <w:style w:type="paragraph" w:styleId="5">
    <w:name w:val="heading 1"/>
    <w:basedOn w:val="1"/>
    <w:next w:val="1"/>
    <w:link w:val="95"/>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96"/>
    <w:qFormat/>
    <w:uiPriority w:val="99"/>
    <w:pPr>
      <w:keepNext/>
      <w:keepLines/>
      <w:spacing w:before="260" w:after="260" w:line="416" w:lineRule="auto"/>
      <w:outlineLvl w:val="1"/>
    </w:pPr>
    <w:rPr>
      <w:rFonts w:ascii="Cambria" w:hAnsi="Cambria" w:cs="Cambria"/>
      <w:b/>
      <w:bCs/>
      <w:sz w:val="32"/>
      <w:szCs w:val="32"/>
    </w:rPr>
  </w:style>
  <w:style w:type="paragraph" w:styleId="7">
    <w:name w:val="heading 3"/>
    <w:basedOn w:val="1"/>
    <w:next w:val="1"/>
    <w:link w:val="97"/>
    <w:qFormat/>
    <w:uiPriority w:val="99"/>
    <w:pPr>
      <w:keepNext/>
      <w:keepLines/>
      <w:spacing w:before="260" w:after="260" w:line="416" w:lineRule="auto"/>
      <w:outlineLvl w:val="2"/>
    </w:pPr>
    <w:rPr>
      <w:b/>
      <w:bCs/>
      <w:sz w:val="32"/>
      <w:szCs w:val="32"/>
    </w:rPr>
  </w:style>
  <w:style w:type="paragraph" w:styleId="8">
    <w:name w:val="heading 4"/>
    <w:basedOn w:val="1"/>
    <w:next w:val="1"/>
    <w:link w:val="98"/>
    <w:qFormat/>
    <w:uiPriority w:val="99"/>
    <w:pPr>
      <w:keepNext/>
      <w:keepLines/>
      <w:spacing w:before="280" w:after="290" w:line="376" w:lineRule="auto"/>
      <w:outlineLvl w:val="3"/>
    </w:pPr>
    <w:rPr>
      <w:rFonts w:ascii="Cambria" w:hAnsi="Cambria" w:cs="Cambria"/>
      <w:b/>
      <w:bCs/>
      <w:sz w:val="28"/>
      <w:szCs w:val="28"/>
    </w:rPr>
  </w:style>
  <w:style w:type="paragraph" w:styleId="9">
    <w:name w:val="heading 5"/>
    <w:basedOn w:val="1"/>
    <w:next w:val="1"/>
    <w:link w:val="99"/>
    <w:qFormat/>
    <w:uiPriority w:val="99"/>
    <w:pPr>
      <w:keepNext/>
      <w:keepLines/>
      <w:spacing w:before="280" w:after="290" w:line="376" w:lineRule="auto"/>
      <w:outlineLvl w:val="4"/>
    </w:pPr>
    <w:rPr>
      <w:b/>
      <w:bCs/>
      <w:sz w:val="28"/>
      <w:szCs w:val="28"/>
    </w:rPr>
  </w:style>
  <w:style w:type="paragraph" w:styleId="10">
    <w:name w:val="heading 6"/>
    <w:basedOn w:val="1"/>
    <w:next w:val="1"/>
    <w:link w:val="100"/>
    <w:qFormat/>
    <w:uiPriority w:val="99"/>
    <w:pPr>
      <w:keepNext/>
      <w:keepLines/>
      <w:spacing w:before="240" w:after="64" w:line="320" w:lineRule="auto"/>
      <w:outlineLvl w:val="5"/>
    </w:pPr>
    <w:rPr>
      <w:rFonts w:ascii="Cambria" w:hAnsi="Cambria" w:cs="Cambria"/>
      <w:b/>
      <w:bCs/>
      <w:sz w:val="24"/>
      <w:szCs w:val="24"/>
    </w:rPr>
  </w:style>
  <w:style w:type="paragraph" w:styleId="11">
    <w:name w:val="heading 7"/>
    <w:basedOn w:val="1"/>
    <w:next w:val="1"/>
    <w:link w:val="101"/>
    <w:qFormat/>
    <w:uiPriority w:val="99"/>
    <w:pPr>
      <w:keepNext/>
      <w:keepLines/>
      <w:spacing w:before="240" w:after="64" w:line="320" w:lineRule="auto"/>
      <w:outlineLvl w:val="6"/>
    </w:pPr>
    <w:rPr>
      <w:b/>
      <w:bCs/>
      <w:sz w:val="24"/>
      <w:szCs w:val="24"/>
    </w:rPr>
  </w:style>
  <w:style w:type="paragraph" w:styleId="12">
    <w:name w:val="heading 8"/>
    <w:basedOn w:val="1"/>
    <w:next w:val="1"/>
    <w:link w:val="102"/>
    <w:qFormat/>
    <w:uiPriority w:val="99"/>
    <w:pPr>
      <w:keepNext/>
      <w:keepLines/>
      <w:spacing w:before="240" w:after="64" w:line="320" w:lineRule="auto"/>
      <w:outlineLvl w:val="7"/>
    </w:pPr>
    <w:rPr>
      <w:rFonts w:ascii="Cambria" w:hAnsi="Cambria" w:cs="Cambria"/>
      <w:sz w:val="24"/>
      <w:szCs w:val="24"/>
    </w:rPr>
  </w:style>
  <w:style w:type="paragraph" w:styleId="13">
    <w:name w:val="heading 9"/>
    <w:basedOn w:val="1"/>
    <w:next w:val="1"/>
    <w:link w:val="103"/>
    <w:qFormat/>
    <w:uiPriority w:val="99"/>
    <w:pPr>
      <w:keepNext/>
      <w:keepLines/>
      <w:spacing w:before="240" w:after="64" w:line="320" w:lineRule="auto"/>
      <w:outlineLvl w:val="8"/>
    </w:pPr>
    <w:rPr>
      <w:rFonts w:ascii="Cambria" w:hAnsi="Cambria" w:cs="Cambria"/>
    </w:r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无间隔1"/>
    <w:next w:val="3"/>
    <w:unhideWhenUsed/>
    <w:qFormat/>
    <w:uiPriority w:val="0"/>
    <w:pPr>
      <w:widowControl w:val="0"/>
      <w:jc w:val="both"/>
    </w:pPr>
    <w:rPr>
      <w:rFonts w:ascii="Calibri" w:hAnsi="Calibri" w:eastAsia="宋体" w:cs="Times New Roman"/>
      <w:kern w:val="2"/>
      <w:sz w:val="21"/>
      <w:szCs w:val="22"/>
      <w:lang w:val="en-US" w:eastAsia="zh-CN" w:bidi="ar-SA"/>
    </w:rPr>
  </w:style>
  <w:style w:type="paragraph" w:styleId="3">
    <w:name w:val="toc 3"/>
    <w:basedOn w:val="1"/>
    <w:next w:val="1"/>
    <w:semiHidden/>
    <w:qFormat/>
    <w:uiPriority w:val="99"/>
    <w:pPr>
      <w:ind w:left="840" w:leftChars="400"/>
    </w:pPr>
  </w:style>
  <w:style w:type="paragraph" w:styleId="4">
    <w:name w:val="macro"/>
    <w:link w:val="104"/>
    <w:semiHidden/>
    <w:qFormat/>
    <w:uiPriority w:val="99"/>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eastAsia="宋体" w:cs="Courier New"/>
      <w:sz w:val="24"/>
      <w:szCs w:val="24"/>
      <w:lang w:val="en-US" w:eastAsia="zh-CN" w:bidi="ar-SA"/>
    </w:rPr>
  </w:style>
  <w:style w:type="paragraph" w:styleId="14">
    <w:name w:val="List 3"/>
    <w:basedOn w:val="1"/>
    <w:qFormat/>
    <w:uiPriority w:val="99"/>
    <w:pPr>
      <w:ind w:left="100" w:leftChars="400" w:hanging="200" w:hangingChars="200"/>
    </w:pPr>
  </w:style>
  <w:style w:type="paragraph" w:styleId="15">
    <w:name w:val="toc 7"/>
    <w:basedOn w:val="1"/>
    <w:next w:val="1"/>
    <w:semiHidden/>
    <w:qFormat/>
    <w:uiPriority w:val="99"/>
    <w:pPr>
      <w:ind w:left="2520" w:leftChars="1200"/>
    </w:pPr>
  </w:style>
  <w:style w:type="paragraph" w:styleId="16">
    <w:name w:val="List Number 2"/>
    <w:basedOn w:val="1"/>
    <w:qFormat/>
    <w:uiPriority w:val="99"/>
    <w:pPr>
      <w:numPr>
        <w:ilvl w:val="0"/>
        <w:numId w:val="1"/>
      </w:numPr>
    </w:pPr>
  </w:style>
  <w:style w:type="paragraph" w:styleId="17">
    <w:name w:val="table of authorities"/>
    <w:basedOn w:val="1"/>
    <w:next w:val="1"/>
    <w:semiHidden/>
    <w:qFormat/>
    <w:uiPriority w:val="99"/>
    <w:pPr>
      <w:ind w:left="420" w:leftChars="200"/>
    </w:pPr>
  </w:style>
  <w:style w:type="paragraph" w:styleId="18">
    <w:name w:val="Note Heading"/>
    <w:basedOn w:val="1"/>
    <w:next w:val="1"/>
    <w:link w:val="105"/>
    <w:qFormat/>
    <w:uiPriority w:val="99"/>
    <w:pPr>
      <w:jc w:val="center"/>
    </w:pPr>
  </w:style>
  <w:style w:type="paragraph" w:styleId="19">
    <w:name w:val="List Bullet 4"/>
    <w:basedOn w:val="1"/>
    <w:qFormat/>
    <w:uiPriority w:val="99"/>
    <w:pPr>
      <w:numPr>
        <w:ilvl w:val="0"/>
        <w:numId w:val="2"/>
      </w:numPr>
    </w:pPr>
  </w:style>
  <w:style w:type="paragraph" w:styleId="20">
    <w:name w:val="index 8"/>
    <w:basedOn w:val="1"/>
    <w:next w:val="1"/>
    <w:semiHidden/>
    <w:qFormat/>
    <w:uiPriority w:val="99"/>
    <w:pPr>
      <w:ind w:left="1400" w:leftChars="1400"/>
    </w:pPr>
  </w:style>
  <w:style w:type="paragraph" w:styleId="21">
    <w:name w:val="E-mail Signature"/>
    <w:basedOn w:val="1"/>
    <w:link w:val="106"/>
    <w:qFormat/>
    <w:uiPriority w:val="99"/>
  </w:style>
  <w:style w:type="paragraph" w:styleId="22">
    <w:name w:val="List Number"/>
    <w:basedOn w:val="1"/>
    <w:qFormat/>
    <w:uiPriority w:val="99"/>
    <w:pPr>
      <w:numPr>
        <w:ilvl w:val="0"/>
        <w:numId w:val="3"/>
      </w:numPr>
    </w:pPr>
  </w:style>
  <w:style w:type="paragraph" w:styleId="23">
    <w:name w:val="Normal Indent"/>
    <w:basedOn w:val="1"/>
    <w:qFormat/>
    <w:uiPriority w:val="99"/>
    <w:pPr>
      <w:ind w:firstLine="420" w:firstLineChars="200"/>
    </w:pPr>
  </w:style>
  <w:style w:type="paragraph" w:styleId="24">
    <w:name w:val="caption"/>
    <w:basedOn w:val="1"/>
    <w:next w:val="1"/>
    <w:qFormat/>
    <w:uiPriority w:val="99"/>
    <w:rPr>
      <w:rFonts w:ascii="Arial" w:hAnsi="Arial" w:eastAsia="黑体" w:cs="Arial"/>
      <w:sz w:val="20"/>
      <w:szCs w:val="20"/>
    </w:rPr>
  </w:style>
  <w:style w:type="paragraph" w:styleId="25">
    <w:name w:val="index 5"/>
    <w:basedOn w:val="1"/>
    <w:next w:val="1"/>
    <w:semiHidden/>
    <w:qFormat/>
    <w:uiPriority w:val="99"/>
    <w:pPr>
      <w:ind w:left="800" w:leftChars="800"/>
    </w:pPr>
  </w:style>
  <w:style w:type="paragraph" w:styleId="26">
    <w:name w:val="List Bullet"/>
    <w:basedOn w:val="1"/>
    <w:qFormat/>
    <w:uiPriority w:val="99"/>
    <w:pPr>
      <w:numPr>
        <w:ilvl w:val="0"/>
        <w:numId w:val="4"/>
      </w:numPr>
    </w:pPr>
  </w:style>
  <w:style w:type="paragraph" w:styleId="27">
    <w:name w:val="envelope address"/>
    <w:basedOn w:val="1"/>
    <w:qFormat/>
    <w:uiPriority w:val="99"/>
    <w:pPr>
      <w:snapToGrid w:val="0"/>
      <w:ind w:left="100" w:leftChars="1400"/>
    </w:pPr>
    <w:rPr>
      <w:rFonts w:ascii="Arial" w:hAnsi="Arial" w:cs="Arial"/>
      <w:sz w:val="24"/>
      <w:szCs w:val="24"/>
    </w:rPr>
  </w:style>
  <w:style w:type="paragraph" w:styleId="28">
    <w:name w:val="Document Map"/>
    <w:basedOn w:val="1"/>
    <w:link w:val="107"/>
    <w:semiHidden/>
    <w:qFormat/>
    <w:uiPriority w:val="99"/>
    <w:pPr>
      <w:shd w:val="clear" w:color="auto" w:fill="000080"/>
    </w:pPr>
    <w:rPr>
      <w:sz w:val="2"/>
      <w:szCs w:val="2"/>
    </w:rPr>
  </w:style>
  <w:style w:type="paragraph" w:styleId="29">
    <w:name w:val="toa heading"/>
    <w:basedOn w:val="1"/>
    <w:next w:val="1"/>
    <w:semiHidden/>
    <w:qFormat/>
    <w:uiPriority w:val="99"/>
    <w:pPr>
      <w:spacing w:before="120"/>
    </w:pPr>
    <w:rPr>
      <w:rFonts w:ascii="Arial" w:hAnsi="Arial" w:cs="Arial"/>
      <w:sz w:val="24"/>
      <w:szCs w:val="24"/>
    </w:rPr>
  </w:style>
  <w:style w:type="paragraph" w:styleId="30">
    <w:name w:val="annotation text"/>
    <w:basedOn w:val="1"/>
    <w:link w:val="108"/>
    <w:semiHidden/>
    <w:qFormat/>
    <w:uiPriority w:val="99"/>
    <w:pPr>
      <w:jc w:val="left"/>
    </w:pPr>
  </w:style>
  <w:style w:type="paragraph" w:styleId="31">
    <w:name w:val="index 6"/>
    <w:basedOn w:val="1"/>
    <w:next w:val="1"/>
    <w:semiHidden/>
    <w:qFormat/>
    <w:uiPriority w:val="99"/>
    <w:pPr>
      <w:ind w:left="1000" w:leftChars="1000"/>
    </w:pPr>
  </w:style>
  <w:style w:type="paragraph" w:styleId="32">
    <w:name w:val="Salutation"/>
    <w:basedOn w:val="1"/>
    <w:next w:val="1"/>
    <w:link w:val="109"/>
    <w:qFormat/>
    <w:uiPriority w:val="99"/>
  </w:style>
  <w:style w:type="paragraph" w:styleId="33">
    <w:name w:val="Body Text 3"/>
    <w:basedOn w:val="1"/>
    <w:link w:val="110"/>
    <w:qFormat/>
    <w:uiPriority w:val="99"/>
    <w:pPr>
      <w:spacing w:after="120"/>
    </w:pPr>
    <w:rPr>
      <w:sz w:val="16"/>
      <w:szCs w:val="16"/>
    </w:rPr>
  </w:style>
  <w:style w:type="paragraph" w:styleId="34">
    <w:name w:val="Closing"/>
    <w:basedOn w:val="1"/>
    <w:link w:val="111"/>
    <w:qFormat/>
    <w:uiPriority w:val="99"/>
    <w:pPr>
      <w:ind w:left="100" w:leftChars="2100"/>
    </w:pPr>
  </w:style>
  <w:style w:type="paragraph" w:styleId="35">
    <w:name w:val="List Bullet 3"/>
    <w:basedOn w:val="1"/>
    <w:qFormat/>
    <w:uiPriority w:val="99"/>
    <w:pPr>
      <w:numPr>
        <w:ilvl w:val="0"/>
        <w:numId w:val="5"/>
      </w:numPr>
    </w:pPr>
  </w:style>
  <w:style w:type="paragraph" w:styleId="36">
    <w:name w:val="Body Text"/>
    <w:basedOn w:val="1"/>
    <w:link w:val="112"/>
    <w:qFormat/>
    <w:uiPriority w:val="99"/>
    <w:pPr>
      <w:spacing w:after="120"/>
    </w:pPr>
  </w:style>
  <w:style w:type="paragraph" w:styleId="37">
    <w:name w:val="Body Text Indent"/>
    <w:basedOn w:val="1"/>
    <w:link w:val="113"/>
    <w:qFormat/>
    <w:uiPriority w:val="99"/>
    <w:pPr>
      <w:spacing w:after="120"/>
      <w:ind w:left="420" w:leftChars="200"/>
    </w:pPr>
  </w:style>
  <w:style w:type="paragraph" w:styleId="38">
    <w:name w:val="List Number 3"/>
    <w:basedOn w:val="1"/>
    <w:qFormat/>
    <w:uiPriority w:val="99"/>
    <w:pPr>
      <w:numPr>
        <w:ilvl w:val="0"/>
        <w:numId w:val="6"/>
      </w:numPr>
    </w:pPr>
  </w:style>
  <w:style w:type="paragraph" w:styleId="39">
    <w:name w:val="List 2"/>
    <w:basedOn w:val="1"/>
    <w:qFormat/>
    <w:uiPriority w:val="99"/>
    <w:pPr>
      <w:ind w:left="100" w:leftChars="200" w:hanging="200" w:hangingChars="200"/>
    </w:pPr>
  </w:style>
  <w:style w:type="paragraph" w:styleId="40">
    <w:name w:val="List Continue"/>
    <w:basedOn w:val="1"/>
    <w:qFormat/>
    <w:uiPriority w:val="99"/>
    <w:pPr>
      <w:spacing w:after="120"/>
      <w:ind w:left="420" w:leftChars="200"/>
    </w:pPr>
  </w:style>
  <w:style w:type="paragraph" w:styleId="41">
    <w:name w:val="Block Text"/>
    <w:basedOn w:val="1"/>
    <w:qFormat/>
    <w:uiPriority w:val="99"/>
    <w:pPr>
      <w:spacing w:after="120"/>
      <w:ind w:left="1440" w:leftChars="700" w:right="1440" w:rightChars="700"/>
    </w:pPr>
  </w:style>
  <w:style w:type="paragraph" w:styleId="42">
    <w:name w:val="List Bullet 2"/>
    <w:basedOn w:val="1"/>
    <w:qFormat/>
    <w:uiPriority w:val="99"/>
    <w:pPr>
      <w:numPr>
        <w:ilvl w:val="0"/>
        <w:numId w:val="7"/>
      </w:numPr>
    </w:pPr>
  </w:style>
  <w:style w:type="paragraph" w:styleId="43">
    <w:name w:val="HTML Address"/>
    <w:basedOn w:val="1"/>
    <w:link w:val="114"/>
    <w:qFormat/>
    <w:uiPriority w:val="99"/>
    <w:rPr>
      <w:i/>
      <w:iCs/>
    </w:rPr>
  </w:style>
  <w:style w:type="paragraph" w:styleId="44">
    <w:name w:val="index 4"/>
    <w:basedOn w:val="1"/>
    <w:next w:val="1"/>
    <w:semiHidden/>
    <w:qFormat/>
    <w:uiPriority w:val="99"/>
    <w:pPr>
      <w:ind w:left="600" w:leftChars="600"/>
    </w:pPr>
  </w:style>
  <w:style w:type="paragraph" w:styleId="45">
    <w:name w:val="toc 5"/>
    <w:basedOn w:val="1"/>
    <w:next w:val="1"/>
    <w:semiHidden/>
    <w:qFormat/>
    <w:uiPriority w:val="99"/>
    <w:pPr>
      <w:ind w:left="1680" w:leftChars="800"/>
    </w:pPr>
  </w:style>
  <w:style w:type="paragraph" w:styleId="46">
    <w:name w:val="Plain Text"/>
    <w:basedOn w:val="1"/>
    <w:link w:val="115"/>
    <w:qFormat/>
    <w:uiPriority w:val="99"/>
    <w:rPr>
      <w:rFonts w:ascii="宋体" w:hAnsi="Courier New" w:cs="宋体"/>
    </w:rPr>
  </w:style>
  <w:style w:type="paragraph" w:styleId="47">
    <w:name w:val="List Bullet 5"/>
    <w:basedOn w:val="1"/>
    <w:qFormat/>
    <w:uiPriority w:val="99"/>
    <w:pPr>
      <w:numPr>
        <w:ilvl w:val="0"/>
        <w:numId w:val="8"/>
      </w:numPr>
    </w:pPr>
  </w:style>
  <w:style w:type="paragraph" w:styleId="48">
    <w:name w:val="List Number 4"/>
    <w:basedOn w:val="1"/>
    <w:qFormat/>
    <w:uiPriority w:val="99"/>
    <w:pPr>
      <w:numPr>
        <w:ilvl w:val="0"/>
        <w:numId w:val="9"/>
      </w:numPr>
    </w:pPr>
  </w:style>
  <w:style w:type="paragraph" w:styleId="49">
    <w:name w:val="toc 8"/>
    <w:basedOn w:val="1"/>
    <w:next w:val="1"/>
    <w:semiHidden/>
    <w:qFormat/>
    <w:uiPriority w:val="99"/>
    <w:pPr>
      <w:ind w:left="2940" w:leftChars="1400"/>
    </w:pPr>
  </w:style>
  <w:style w:type="paragraph" w:styleId="50">
    <w:name w:val="index 3"/>
    <w:basedOn w:val="1"/>
    <w:next w:val="1"/>
    <w:semiHidden/>
    <w:qFormat/>
    <w:uiPriority w:val="99"/>
    <w:pPr>
      <w:ind w:left="400" w:leftChars="400"/>
    </w:pPr>
  </w:style>
  <w:style w:type="paragraph" w:styleId="51">
    <w:name w:val="Date"/>
    <w:basedOn w:val="1"/>
    <w:next w:val="1"/>
    <w:link w:val="116"/>
    <w:qFormat/>
    <w:uiPriority w:val="99"/>
    <w:pPr>
      <w:ind w:left="100" w:leftChars="2500"/>
    </w:pPr>
  </w:style>
  <w:style w:type="paragraph" w:styleId="52">
    <w:name w:val="Body Text Indent 2"/>
    <w:basedOn w:val="1"/>
    <w:link w:val="117"/>
    <w:qFormat/>
    <w:uiPriority w:val="99"/>
    <w:pPr>
      <w:spacing w:after="120" w:line="480" w:lineRule="auto"/>
      <w:ind w:left="200" w:leftChars="200"/>
    </w:pPr>
  </w:style>
  <w:style w:type="paragraph" w:styleId="53">
    <w:name w:val="endnote text"/>
    <w:basedOn w:val="1"/>
    <w:link w:val="118"/>
    <w:semiHidden/>
    <w:qFormat/>
    <w:uiPriority w:val="99"/>
    <w:pPr>
      <w:snapToGrid w:val="0"/>
      <w:jc w:val="left"/>
    </w:pPr>
  </w:style>
  <w:style w:type="paragraph" w:styleId="54">
    <w:name w:val="List Continue 5"/>
    <w:basedOn w:val="1"/>
    <w:qFormat/>
    <w:uiPriority w:val="99"/>
    <w:pPr>
      <w:spacing w:after="120"/>
      <w:ind w:left="2100" w:leftChars="1000"/>
    </w:pPr>
  </w:style>
  <w:style w:type="paragraph" w:styleId="55">
    <w:name w:val="Balloon Text"/>
    <w:basedOn w:val="1"/>
    <w:link w:val="119"/>
    <w:semiHidden/>
    <w:qFormat/>
    <w:uiPriority w:val="99"/>
    <w:rPr>
      <w:sz w:val="2"/>
      <w:szCs w:val="2"/>
    </w:rPr>
  </w:style>
  <w:style w:type="paragraph" w:styleId="56">
    <w:name w:val="footer"/>
    <w:basedOn w:val="1"/>
    <w:link w:val="120"/>
    <w:qFormat/>
    <w:uiPriority w:val="99"/>
    <w:pPr>
      <w:tabs>
        <w:tab w:val="center" w:pos="4153"/>
        <w:tab w:val="right" w:pos="8306"/>
      </w:tabs>
      <w:snapToGrid w:val="0"/>
      <w:jc w:val="left"/>
    </w:pPr>
    <w:rPr>
      <w:sz w:val="18"/>
      <w:szCs w:val="18"/>
    </w:rPr>
  </w:style>
  <w:style w:type="paragraph" w:styleId="57">
    <w:name w:val="envelope return"/>
    <w:basedOn w:val="1"/>
    <w:qFormat/>
    <w:uiPriority w:val="99"/>
    <w:pPr>
      <w:snapToGrid w:val="0"/>
    </w:pPr>
    <w:rPr>
      <w:rFonts w:ascii="Arial" w:hAnsi="Arial" w:cs="Arial"/>
    </w:rPr>
  </w:style>
  <w:style w:type="paragraph" w:styleId="58">
    <w:name w:val="header"/>
    <w:basedOn w:val="1"/>
    <w:link w:val="121"/>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22"/>
    <w:qFormat/>
    <w:uiPriority w:val="99"/>
    <w:pPr>
      <w:ind w:left="100" w:leftChars="2100"/>
    </w:pPr>
  </w:style>
  <w:style w:type="paragraph" w:styleId="60">
    <w:name w:val="toc 1"/>
    <w:basedOn w:val="1"/>
    <w:next w:val="1"/>
    <w:qFormat/>
    <w:uiPriority w:val="39"/>
  </w:style>
  <w:style w:type="paragraph" w:styleId="61">
    <w:name w:val="List Continue 4"/>
    <w:basedOn w:val="1"/>
    <w:qFormat/>
    <w:uiPriority w:val="99"/>
    <w:pPr>
      <w:spacing w:after="120"/>
      <w:ind w:left="1680" w:leftChars="800"/>
    </w:pPr>
  </w:style>
  <w:style w:type="paragraph" w:styleId="62">
    <w:name w:val="toc 4"/>
    <w:basedOn w:val="1"/>
    <w:next w:val="1"/>
    <w:semiHidden/>
    <w:qFormat/>
    <w:uiPriority w:val="99"/>
    <w:pPr>
      <w:ind w:left="1260" w:leftChars="600"/>
    </w:pPr>
  </w:style>
  <w:style w:type="paragraph" w:styleId="63">
    <w:name w:val="index heading"/>
    <w:basedOn w:val="1"/>
    <w:next w:val="64"/>
    <w:semiHidden/>
    <w:qFormat/>
    <w:uiPriority w:val="99"/>
    <w:rPr>
      <w:rFonts w:ascii="Arial" w:hAnsi="Arial" w:cs="Arial"/>
      <w:b/>
      <w:bCs/>
    </w:rPr>
  </w:style>
  <w:style w:type="paragraph" w:styleId="64">
    <w:name w:val="index 1"/>
    <w:basedOn w:val="1"/>
    <w:next w:val="1"/>
    <w:semiHidden/>
    <w:qFormat/>
    <w:uiPriority w:val="99"/>
  </w:style>
  <w:style w:type="paragraph" w:styleId="65">
    <w:name w:val="Subtitle"/>
    <w:basedOn w:val="1"/>
    <w:link w:val="123"/>
    <w:qFormat/>
    <w:uiPriority w:val="99"/>
    <w:pPr>
      <w:spacing w:before="240" w:after="60" w:line="312" w:lineRule="auto"/>
      <w:jc w:val="center"/>
      <w:outlineLvl w:val="1"/>
    </w:pPr>
    <w:rPr>
      <w:rFonts w:ascii="Cambria" w:hAnsi="Cambria" w:cs="Cambria"/>
      <w:b/>
      <w:bCs/>
      <w:kern w:val="28"/>
      <w:sz w:val="32"/>
      <w:szCs w:val="32"/>
    </w:rPr>
  </w:style>
  <w:style w:type="paragraph" w:styleId="66">
    <w:name w:val="List Number 5"/>
    <w:basedOn w:val="1"/>
    <w:qFormat/>
    <w:uiPriority w:val="99"/>
    <w:pPr>
      <w:numPr>
        <w:ilvl w:val="0"/>
        <w:numId w:val="10"/>
      </w:numPr>
    </w:pPr>
  </w:style>
  <w:style w:type="paragraph" w:styleId="67">
    <w:name w:val="List"/>
    <w:basedOn w:val="1"/>
    <w:qFormat/>
    <w:uiPriority w:val="99"/>
    <w:pPr>
      <w:ind w:left="200" w:hanging="200" w:hangingChars="200"/>
    </w:pPr>
  </w:style>
  <w:style w:type="paragraph" w:styleId="68">
    <w:name w:val="footnote text"/>
    <w:basedOn w:val="1"/>
    <w:link w:val="124"/>
    <w:semiHidden/>
    <w:qFormat/>
    <w:uiPriority w:val="99"/>
    <w:pPr>
      <w:snapToGrid w:val="0"/>
      <w:jc w:val="left"/>
    </w:pPr>
    <w:rPr>
      <w:sz w:val="18"/>
      <w:szCs w:val="18"/>
    </w:rPr>
  </w:style>
  <w:style w:type="paragraph" w:styleId="69">
    <w:name w:val="toc 6"/>
    <w:basedOn w:val="1"/>
    <w:next w:val="1"/>
    <w:semiHidden/>
    <w:qFormat/>
    <w:uiPriority w:val="99"/>
    <w:pPr>
      <w:ind w:left="2100" w:leftChars="1000"/>
    </w:pPr>
  </w:style>
  <w:style w:type="paragraph" w:styleId="70">
    <w:name w:val="List 5"/>
    <w:basedOn w:val="1"/>
    <w:qFormat/>
    <w:uiPriority w:val="99"/>
    <w:pPr>
      <w:ind w:left="100" w:leftChars="800" w:hanging="200" w:hangingChars="200"/>
    </w:pPr>
  </w:style>
  <w:style w:type="paragraph" w:styleId="71">
    <w:name w:val="Body Text Indent 3"/>
    <w:basedOn w:val="1"/>
    <w:link w:val="125"/>
    <w:qFormat/>
    <w:uiPriority w:val="99"/>
    <w:pPr>
      <w:spacing w:after="120"/>
      <w:ind w:left="420" w:leftChars="200"/>
    </w:pPr>
    <w:rPr>
      <w:sz w:val="16"/>
      <w:szCs w:val="16"/>
    </w:rPr>
  </w:style>
  <w:style w:type="paragraph" w:styleId="72">
    <w:name w:val="index 7"/>
    <w:basedOn w:val="1"/>
    <w:next w:val="1"/>
    <w:semiHidden/>
    <w:qFormat/>
    <w:uiPriority w:val="99"/>
    <w:pPr>
      <w:ind w:left="1200" w:leftChars="1200"/>
    </w:pPr>
  </w:style>
  <w:style w:type="paragraph" w:styleId="73">
    <w:name w:val="index 9"/>
    <w:basedOn w:val="1"/>
    <w:next w:val="1"/>
    <w:semiHidden/>
    <w:qFormat/>
    <w:uiPriority w:val="99"/>
    <w:pPr>
      <w:ind w:left="1600" w:leftChars="1600"/>
    </w:pPr>
  </w:style>
  <w:style w:type="paragraph" w:styleId="74">
    <w:name w:val="table of figures"/>
    <w:basedOn w:val="1"/>
    <w:next w:val="1"/>
    <w:semiHidden/>
    <w:qFormat/>
    <w:uiPriority w:val="99"/>
    <w:pPr>
      <w:ind w:left="200" w:leftChars="200" w:hanging="200" w:hangingChars="200"/>
    </w:pPr>
  </w:style>
  <w:style w:type="paragraph" w:styleId="75">
    <w:name w:val="toc 2"/>
    <w:basedOn w:val="1"/>
    <w:next w:val="1"/>
    <w:semiHidden/>
    <w:qFormat/>
    <w:uiPriority w:val="99"/>
    <w:pPr>
      <w:tabs>
        <w:tab w:val="right" w:leader="dot" w:pos="8296"/>
      </w:tabs>
    </w:pPr>
  </w:style>
  <w:style w:type="paragraph" w:styleId="76">
    <w:name w:val="toc 9"/>
    <w:basedOn w:val="1"/>
    <w:next w:val="1"/>
    <w:semiHidden/>
    <w:qFormat/>
    <w:uiPriority w:val="99"/>
    <w:pPr>
      <w:ind w:left="3360" w:leftChars="1600"/>
    </w:pPr>
  </w:style>
  <w:style w:type="paragraph" w:styleId="77">
    <w:name w:val="Body Text 2"/>
    <w:basedOn w:val="1"/>
    <w:link w:val="126"/>
    <w:qFormat/>
    <w:uiPriority w:val="99"/>
    <w:pPr>
      <w:spacing w:after="120" w:line="480" w:lineRule="auto"/>
    </w:pPr>
  </w:style>
  <w:style w:type="paragraph" w:styleId="78">
    <w:name w:val="List 4"/>
    <w:basedOn w:val="1"/>
    <w:qFormat/>
    <w:uiPriority w:val="99"/>
    <w:pPr>
      <w:ind w:left="100" w:leftChars="600" w:hanging="200" w:hangingChars="200"/>
    </w:pPr>
  </w:style>
  <w:style w:type="paragraph" w:styleId="79">
    <w:name w:val="List Continue 2"/>
    <w:basedOn w:val="1"/>
    <w:qFormat/>
    <w:uiPriority w:val="99"/>
    <w:pPr>
      <w:spacing w:after="120"/>
      <w:ind w:left="840" w:leftChars="400"/>
    </w:pPr>
  </w:style>
  <w:style w:type="paragraph" w:styleId="80">
    <w:name w:val="Message Header"/>
    <w:basedOn w:val="1"/>
    <w:link w:val="127"/>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sz w:val="24"/>
      <w:szCs w:val="24"/>
    </w:rPr>
  </w:style>
  <w:style w:type="paragraph" w:styleId="81">
    <w:name w:val="HTML Preformatted"/>
    <w:basedOn w:val="1"/>
    <w:link w:val="128"/>
    <w:qFormat/>
    <w:uiPriority w:val="99"/>
    <w:rPr>
      <w:rFonts w:ascii="Courier New" w:hAnsi="Courier New" w:cs="Courier New"/>
      <w:sz w:val="20"/>
      <w:szCs w:val="20"/>
    </w:rPr>
  </w:style>
  <w:style w:type="paragraph" w:styleId="82">
    <w:name w:val="Normal (Web)"/>
    <w:basedOn w:val="1"/>
    <w:qFormat/>
    <w:uiPriority w:val="99"/>
    <w:rPr>
      <w:sz w:val="24"/>
      <w:szCs w:val="24"/>
    </w:rPr>
  </w:style>
  <w:style w:type="paragraph" w:styleId="83">
    <w:name w:val="List Continue 3"/>
    <w:basedOn w:val="1"/>
    <w:qFormat/>
    <w:uiPriority w:val="99"/>
    <w:pPr>
      <w:spacing w:after="120"/>
      <w:ind w:left="1260" w:leftChars="600"/>
    </w:pPr>
  </w:style>
  <w:style w:type="paragraph" w:styleId="84">
    <w:name w:val="index 2"/>
    <w:basedOn w:val="1"/>
    <w:next w:val="1"/>
    <w:semiHidden/>
    <w:qFormat/>
    <w:uiPriority w:val="99"/>
    <w:pPr>
      <w:ind w:left="200" w:leftChars="200"/>
    </w:pPr>
  </w:style>
  <w:style w:type="paragraph" w:styleId="85">
    <w:name w:val="Title"/>
    <w:basedOn w:val="1"/>
    <w:link w:val="129"/>
    <w:qFormat/>
    <w:uiPriority w:val="99"/>
    <w:pPr>
      <w:spacing w:before="240" w:after="60"/>
      <w:jc w:val="center"/>
      <w:outlineLvl w:val="0"/>
    </w:pPr>
    <w:rPr>
      <w:rFonts w:ascii="Cambria" w:hAnsi="Cambria" w:cs="Cambria"/>
      <w:b/>
      <w:bCs/>
      <w:sz w:val="32"/>
      <w:szCs w:val="32"/>
    </w:rPr>
  </w:style>
  <w:style w:type="paragraph" w:styleId="86">
    <w:name w:val="annotation subject"/>
    <w:basedOn w:val="30"/>
    <w:next w:val="30"/>
    <w:link w:val="130"/>
    <w:semiHidden/>
    <w:qFormat/>
    <w:uiPriority w:val="99"/>
    <w:rPr>
      <w:b/>
      <w:bCs/>
    </w:rPr>
  </w:style>
  <w:style w:type="paragraph" w:styleId="87">
    <w:name w:val="Body Text First Indent"/>
    <w:basedOn w:val="36"/>
    <w:link w:val="131"/>
    <w:qFormat/>
    <w:uiPriority w:val="99"/>
    <w:pPr>
      <w:ind w:firstLine="420" w:firstLineChars="100"/>
    </w:pPr>
  </w:style>
  <w:style w:type="paragraph" w:styleId="88">
    <w:name w:val="Body Text First Indent 2"/>
    <w:basedOn w:val="37"/>
    <w:link w:val="132"/>
    <w:qFormat/>
    <w:uiPriority w:val="99"/>
    <w:pPr>
      <w:ind w:firstLine="420" w:firstLineChars="200"/>
    </w:pPr>
  </w:style>
  <w:style w:type="character" w:styleId="91">
    <w:name w:val="page number"/>
    <w:basedOn w:val="90"/>
    <w:qFormat/>
    <w:uiPriority w:val="99"/>
  </w:style>
  <w:style w:type="character" w:styleId="92">
    <w:name w:val="FollowedHyperlink"/>
    <w:qFormat/>
    <w:uiPriority w:val="99"/>
    <w:rPr>
      <w:color w:val="auto"/>
      <w:u w:val="single"/>
    </w:rPr>
  </w:style>
  <w:style w:type="character" w:styleId="93">
    <w:name w:val="Hyperlink"/>
    <w:qFormat/>
    <w:uiPriority w:val="99"/>
    <w:rPr>
      <w:color w:val="0000FF"/>
      <w:u w:val="single"/>
    </w:rPr>
  </w:style>
  <w:style w:type="character" w:styleId="94">
    <w:name w:val="annotation reference"/>
    <w:semiHidden/>
    <w:qFormat/>
    <w:uiPriority w:val="99"/>
    <w:rPr>
      <w:sz w:val="21"/>
      <w:szCs w:val="21"/>
    </w:rPr>
  </w:style>
  <w:style w:type="character" w:customStyle="1" w:styleId="95">
    <w:name w:val="标题 1 字符"/>
    <w:link w:val="5"/>
    <w:qFormat/>
    <w:locked/>
    <w:uiPriority w:val="99"/>
    <w:rPr>
      <w:b/>
      <w:bCs/>
      <w:kern w:val="44"/>
      <w:sz w:val="44"/>
      <w:szCs w:val="44"/>
    </w:rPr>
  </w:style>
  <w:style w:type="character" w:customStyle="1" w:styleId="96">
    <w:name w:val="标题 2 字符"/>
    <w:link w:val="6"/>
    <w:semiHidden/>
    <w:qFormat/>
    <w:locked/>
    <w:uiPriority w:val="99"/>
    <w:rPr>
      <w:rFonts w:ascii="Cambria" w:hAnsi="Cambria" w:eastAsia="宋体" w:cs="Cambria"/>
      <w:b/>
      <w:bCs/>
      <w:kern w:val="0"/>
      <w:sz w:val="32"/>
      <w:szCs w:val="32"/>
    </w:rPr>
  </w:style>
  <w:style w:type="character" w:customStyle="1" w:styleId="97">
    <w:name w:val="标题 3 字符"/>
    <w:link w:val="7"/>
    <w:semiHidden/>
    <w:qFormat/>
    <w:locked/>
    <w:uiPriority w:val="99"/>
    <w:rPr>
      <w:b/>
      <w:bCs/>
      <w:kern w:val="0"/>
      <w:sz w:val="32"/>
      <w:szCs w:val="32"/>
    </w:rPr>
  </w:style>
  <w:style w:type="character" w:customStyle="1" w:styleId="98">
    <w:name w:val="标题 4 字符"/>
    <w:link w:val="8"/>
    <w:semiHidden/>
    <w:qFormat/>
    <w:locked/>
    <w:uiPriority w:val="99"/>
    <w:rPr>
      <w:rFonts w:ascii="Cambria" w:hAnsi="Cambria" w:eastAsia="宋体" w:cs="Cambria"/>
      <w:b/>
      <w:bCs/>
      <w:kern w:val="0"/>
      <w:sz w:val="28"/>
      <w:szCs w:val="28"/>
    </w:rPr>
  </w:style>
  <w:style w:type="character" w:customStyle="1" w:styleId="99">
    <w:name w:val="标题 5 字符"/>
    <w:link w:val="9"/>
    <w:semiHidden/>
    <w:qFormat/>
    <w:locked/>
    <w:uiPriority w:val="99"/>
    <w:rPr>
      <w:b/>
      <w:bCs/>
      <w:kern w:val="0"/>
      <w:sz w:val="28"/>
      <w:szCs w:val="28"/>
    </w:rPr>
  </w:style>
  <w:style w:type="character" w:customStyle="1" w:styleId="100">
    <w:name w:val="标题 6 字符"/>
    <w:link w:val="10"/>
    <w:semiHidden/>
    <w:qFormat/>
    <w:locked/>
    <w:uiPriority w:val="99"/>
    <w:rPr>
      <w:rFonts w:ascii="Cambria" w:hAnsi="Cambria" w:eastAsia="宋体" w:cs="Cambria"/>
      <w:b/>
      <w:bCs/>
      <w:kern w:val="0"/>
      <w:sz w:val="24"/>
      <w:szCs w:val="24"/>
    </w:rPr>
  </w:style>
  <w:style w:type="character" w:customStyle="1" w:styleId="101">
    <w:name w:val="标题 7 字符"/>
    <w:link w:val="11"/>
    <w:semiHidden/>
    <w:qFormat/>
    <w:locked/>
    <w:uiPriority w:val="99"/>
    <w:rPr>
      <w:b/>
      <w:bCs/>
      <w:kern w:val="0"/>
      <w:sz w:val="24"/>
      <w:szCs w:val="24"/>
    </w:rPr>
  </w:style>
  <w:style w:type="character" w:customStyle="1" w:styleId="102">
    <w:name w:val="标题 8 字符"/>
    <w:link w:val="12"/>
    <w:semiHidden/>
    <w:qFormat/>
    <w:locked/>
    <w:uiPriority w:val="99"/>
    <w:rPr>
      <w:rFonts w:ascii="Cambria" w:hAnsi="Cambria" w:eastAsia="宋体" w:cs="Cambria"/>
      <w:kern w:val="0"/>
      <w:sz w:val="24"/>
      <w:szCs w:val="24"/>
    </w:rPr>
  </w:style>
  <w:style w:type="character" w:customStyle="1" w:styleId="103">
    <w:name w:val="标题 9 字符"/>
    <w:link w:val="13"/>
    <w:semiHidden/>
    <w:qFormat/>
    <w:locked/>
    <w:uiPriority w:val="99"/>
    <w:rPr>
      <w:rFonts w:ascii="Cambria" w:hAnsi="Cambria" w:eastAsia="宋体" w:cs="Cambria"/>
      <w:kern w:val="0"/>
      <w:sz w:val="21"/>
      <w:szCs w:val="21"/>
    </w:rPr>
  </w:style>
  <w:style w:type="character" w:customStyle="1" w:styleId="104">
    <w:name w:val="宏文本 字符"/>
    <w:link w:val="4"/>
    <w:semiHidden/>
    <w:qFormat/>
    <w:locked/>
    <w:uiPriority w:val="99"/>
    <w:rPr>
      <w:rFonts w:ascii="Courier New" w:hAnsi="Courier New" w:cs="Courier New"/>
      <w:sz w:val="24"/>
      <w:szCs w:val="24"/>
      <w:lang w:val="en-US" w:eastAsia="zh-CN"/>
    </w:rPr>
  </w:style>
  <w:style w:type="character" w:customStyle="1" w:styleId="105">
    <w:name w:val="注释标题 字符"/>
    <w:link w:val="18"/>
    <w:semiHidden/>
    <w:qFormat/>
    <w:locked/>
    <w:uiPriority w:val="99"/>
    <w:rPr>
      <w:kern w:val="0"/>
      <w:sz w:val="21"/>
      <w:szCs w:val="21"/>
    </w:rPr>
  </w:style>
  <w:style w:type="character" w:customStyle="1" w:styleId="106">
    <w:name w:val="电子邮件签名 字符"/>
    <w:link w:val="21"/>
    <w:semiHidden/>
    <w:qFormat/>
    <w:locked/>
    <w:uiPriority w:val="99"/>
    <w:rPr>
      <w:kern w:val="0"/>
      <w:sz w:val="21"/>
      <w:szCs w:val="21"/>
    </w:rPr>
  </w:style>
  <w:style w:type="character" w:customStyle="1" w:styleId="107">
    <w:name w:val="文档结构图 字符"/>
    <w:link w:val="28"/>
    <w:semiHidden/>
    <w:qFormat/>
    <w:locked/>
    <w:uiPriority w:val="99"/>
    <w:rPr>
      <w:kern w:val="0"/>
      <w:sz w:val="2"/>
      <w:szCs w:val="2"/>
    </w:rPr>
  </w:style>
  <w:style w:type="character" w:customStyle="1" w:styleId="108">
    <w:name w:val="批注文字 字符"/>
    <w:link w:val="30"/>
    <w:semiHidden/>
    <w:qFormat/>
    <w:locked/>
    <w:uiPriority w:val="99"/>
    <w:rPr>
      <w:kern w:val="0"/>
      <w:sz w:val="21"/>
      <w:szCs w:val="21"/>
    </w:rPr>
  </w:style>
  <w:style w:type="character" w:customStyle="1" w:styleId="109">
    <w:name w:val="称呼 字符"/>
    <w:link w:val="32"/>
    <w:semiHidden/>
    <w:qFormat/>
    <w:locked/>
    <w:uiPriority w:val="99"/>
    <w:rPr>
      <w:kern w:val="0"/>
      <w:sz w:val="21"/>
      <w:szCs w:val="21"/>
    </w:rPr>
  </w:style>
  <w:style w:type="character" w:customStyle="1" w:styleId="110">
    <w:name w:val="正文文本 3 字符"/>
    <w:link w:val="33"/>
    <w:semiHidden/>
    <w:qFormat/>
    <w:locked/>
    <w:uiPriority w:val="99"/>
    <w:rPr>
      <w:kern w:val="0"/>
      <w:sz w:val="16"/>
      <w:szCs w:val="16"/>
    </w:rPr>
  </w:style>
  <w:style w:type="character" w:customStyle="1" w:styleId="111">
    <w:name w:val="结束语 字符"/>
    <w:link w:val="34"/>
    <w:semiHidden/>
    <w:qFormat/>
    <w:locked/>
    <w:uiPriority w:val="99"/>
    <w:rPr>
      <w:kern w:val="0"/>
      <w:sz w:val="21"/>
      <w:szCs w:val="21"/>
    </w:rPr>
  </w:style>
  <w:style w:type="character" w:customStyle="1" w:styleId="112">
    <w:name w:val="正文文本 字符"/>
    <w:link w:val="36"/>
    <w:semiHidden/>
    <w:qFormat/>
    <w:locked/>
    <w:uiPriority w:val="99"/>
    <w:rPr>
      <w:kern w:val="0"/>
      <w:sz w:val="21"/>
      <w:szCs w:val="21"/>
    </w:rPr>
  </w:style>
  <w:style w:type="character" w:customStyle="1" w:styleId="113">
    <w:name w:val="正文文本缩进 字符"/>
    <w:link w:val="37"/>
    <w:semiHidden/>
    <w:qFormat/>
    <w:locked/>
    <w:uiPriority w:val="99"/>
    <w:rPr>
      <w:kern w:val="0"/>
      <w:sz w:val="21"/>
      <w:szCs w:val="21"/>
    </w:rPr>
  </w:style>
  <w:style w:type="character" w:customStyle="1" w:styleId="114">
    <w:name w:val="HTML 地址 字符"/>
    <w:link w:val="43"/>
    <w:semiHidden/>
    <w:qFormat/>
    <w:locked/>
    <w:uiPriority w:val="99"/>
    <w:rPr>
      <w:i/>
      <w:iCs/>
      <w:kern w:val="0"/>
      <w:sz w:val="21"/>
      <w:szCs w:val="21"/>
    </w:rPr>
  </w:style>
  <w:style w:type="character" w:customStyle="1" w:styleId="115">
    <w:name w:val="纯文本 字符"/>
    <w:link w:val="46"/>
    <w:semiHidden/>
    <w:qFormat/>
    <w:locked/>
    <w:uiPriority w:val="99"/>
    <w:rPr>
      <w:rFonts w:ascii="宋体" w:hAnsi="Courier New" w:cs="宋体"/>
      <w:kern w:val="0"/>
      <w:sz w:val="21"/>
      <w:szCs w:val="21"/>
    </w:rPr>
  </w:style>
  <w:style w:type="character" w:customStyle="1" w:styleId="116">
    <w:name w:val="日期 字符"/>
    <w:link w:val="51"/>
    <w:semiHidden/>
    <w:qFormat/>
    <w:locked/>
    <w:uiPriority w:val="99"/>
    <w:rPr>
      <w:kern w:val="0"/>
      <w:sz w:val="21"/>
      <w:szCs w:val="21"/>
    </w:rPr>
  </w:style>
  <w:style w:type="character" w:customStyle="1" w:styleId="117">
    <w:name w:val="正文文本缩进 2 字符"/>
    <w:link w:val="52"/>
    <w:semiHidden/>
    <w:qFormat/>
    <w:locked/>
    <w:uiPriority w:val="99"/>
    <w:rPr>
      <w:kern w:val="0"/>
      <w:sz w:val="21"/>
      <w:szCs w:val="21"/>
    </w:rPr>
  </w:style>
  <w:style w:type="character" w:customStyle="1" w:styleId="118">
    <w:name w:val="尾注文本 字符"/>
    <w:link w:val="53"/>
    <w:semiHidden/>
    <w:qFormat/>
    <w:locked/>
    <w:uiPriority w:val="99"/>
    <w:rPr>
      <w:kern w:val="0"/>
      <w:sz w:val="21"/>
      <w:szCs w:val="21"/>
    </w:rPr>
  </w:style>
  <w:style w:type="character" w:customStyle="1" w:styleId="119">
    <w:name w:val="批注框文本 字符"/>
    <w:link w:val="55"/>
    <w:semiHidden/>
    <w:qFormat/>
    <w:locked/>
    <w:uiPriority w:val="99"/>
    <w:rPr>
      <w:kern w:val="0"/>
      <w:sz w:val="2"/>
      <w:szCs w:val="2"/>
    </w:rPr>
  </w:style>
  <w:style w:type="character" w:customStyle="1" w:styleId="120">
    <w:name w:val="页脚 字符"/>
    <w:link w:val="56"/>
    <w:qFormat/>
    <w:locked/>
    <w:uiPriority w:val="99"/>
    <w:rPr>
      <w:sz w:val="18"/>
      <w:szCs w:val="18"/>
    </w:rPr>
  </w:style>
  <w:style w:type="character" w:customStyle="1" w:styleId="121">
    <w:name w:val="页眉 字符"/>
    <w:link w:val="58"/>
    <w:qFormat/>
    <w:locked/>
    <w:uiPriority w:val="99"/>
    <w:rPr>
      <w:sz w:val="18"/>
      <w:szCs w:val="18"/>
    </w:rPr>
  </w:style>
  <w:style w:type="character" w:customStyle="1" w:styleId="122">
    <w:name w:val="签名 字符"/>
    <w:link w:val="59"/>
    <w:semiHidden/>
    <w:qFormat/>
    <w:locked/>
    <w:uiPriority w:val="99"/>
    <w:rPr>
      <w:kern w:val="0"/>
      <w:sz w:val="21"/>
      <w:szCs w:val="21"/>
    </w:rPr>
  </w:style>
  <w:style w:type="character" w:customStyle="1" w:styleId="123">
    <w:name w:val="副标题 字符"/>
    <w:link w:val="65"/>
    <w:qFormat/>
    <w:locked/>
    <w:uiPriority w:val="99"/>
    <w:rPr>
      <w:rFonts w:ascii="Cambria" w:hAnsi="Cambria" w:cs="Cambria"/>
      <w:b/>
      <w:bCs/>
      <w:kern w:val="28"/>
      <w:sz w:val="32"/>
      <w:szCs w:val="32"/>
    </w:rPr>
  </w:style>
  <w:style w:type="character" w:customStyle="1" w:styleId="124">
    <w:name w:val="脚注文本 字符"/>
    <w:link w:val="68"/>
    <w:semiHidden/>
    <w:qFormat/>
    <w:locked/>
    <w:uiPriority w:val="99"/>
    <w:rPr>
      <w:kern w:val="0"/>
      <w:sz w:val="18"/>
      <w:szCs w:val="18"/>
    </w:rPr>
  </w:style>
  <w:style w:type="character" w:customStyle="1" w:styleId="125">
    <w:name w:val="正文文本缩进 3 字符"/>
    <w:link w:val="71"/>
    <w:semiHidden/>
    <w:qFormat/>
    <w:locked/>
    <w:uiPriority w:val="99"/>
    <w:rPr>
      <w:kern w:val="0"/>
      <w:sz w:val="16"/>
      <w:szCs w:val="16"/>
    </w:rPr>
  </w:style>
  <w:style w:type="character" w:customStyle="1" w:styleId="126">
    <w:name w:val="正文文本 2 字符"/>
    <w:link w:val="77"/>
    <w:semiHidden/>
    <w:qFormat/>
    <w:locked/>
    <w:uiPriority w:val="99"/>
    <w:rPr>
      <w:kern w:val="0"/>
      <w:sz w:val="21"/>
      <w:szCs w:val="21"/>
    </w:rPr>
  </w:style>
  <w:style w:type="character" w:customStyle="1" w:styleId="127">
    <w:name w:val="信息标题 字符"/>
    <w:link w:val="80"/>
    <w:semiHidden/>
    <w:qFormat/>
    <w:locked/>
    <w:uiPriority w:val="99"/>
    <w:rPr>
      <w:rFonts w:ascii="Cambria" w:hAnsi="Cambria" w:eastAsia="宋体" w:cs="Cambria"/>
      <w:kern w:val="0"/>
      <w:sz w:val="24"/>
      <w:szCs w:val="24"/>
      <w:shd w:val="pct20" w:color="auto" w:fill="auto"/>
    </w:rPr>
  </w:style>
  <w:style w:type="character" w:customStyle="1" w:styleId="128">
    <w:name w:val="HTML 预设格式 字符"/>
    <w:link w:val="81"/>
    <w:semiHidden/>
    <w:qFormat/>
    <w:locked/>
    <w:uiPriority w:val="99"/>
    <w:rPr>
      <w:rFonts w:ascii="Courier New" w:hAnsi="Courier New" w:cs="Courier New"/>
      <w:kern w:val="0"/>
      <w:sz w:val="20"/>
      <w:szCs w:val="20"/>
    </w:rPr>
  </w:style>
  <w:style w:type="character" w:customStyle="1" w:styleId="129">
    <w:name w:val="标题 字符"/>
    <w:link w:val="85"/>
    <w:qFormat/>
    <w:locked/>
    <w:uiPriority w:val="99"/>
    <w:rPr>
      <w:rFonts w:ascii="Cambria" w:hAnsi="Cambria" w:cs="Cambria"/>
      <w:b/>
      <w:bCs/>
      <w:kern w:val="0"/>
      <w:sz w:val="32"/>
      <w:szCs w:val="32"/>
    </w:rPr>
  </w:style>
  <w:style w:type="character" w:customStyle="1" w:styleId="130">
    <w:name w:val="批注主题 字符"/>
    <w:link w:val="86"/>
    <w:semiHidden/>
    <w:qFormat/>
    <w:locked/>
    <w:uiPriority w:val="99"/>
    <w:rPr>
      <w:b/>
      <w:bCs/>
      <w:kern w:val="0"/>
      <w:sz w:val="21"/>
      <w:szCs w:val="21"/>
    </w:rPr>
  </w:style>
  <w:style w:type="character" w:customStyle="1" w:styleId="131">
    <w:name w:val="正文文本首行缩进 字符"/>
    <w:link w:val="87"/>
    <w:semiHidden/>
    <w:qFormat/>
    <w:locked/>
    <w:uiPriority w:val="99"/>
    <w:rPr>
      <w:kern w:val="0"/>
      <w:sz w:val="21"/>
      <w:szCs w:val="21"/>
    </w:rPr>
  </w:style>
  <w:style w:type="character" w:customStyle="1" w:styleId="132">
    <w:name w:val="正文文本首行缩进 2 字符"/>
    <w:link w:val="88"/>
    <w:semiHidden/>
    <w:qFormat/>
    <w:locked/>
    <w:uiPriority w:val="99"/>
    <w:rPr>
      <w:kern w:val="0"/>
      <w:sz w:val="21"/>
      <w:szCs w:val="21"/>
    </w:rPr>
  </w:style>
  <w:style w:type="paragraph" w:customStyle="1" w:styleId="133">
    <w:name w:val="默认段落字体 Para Char"/>
    <w:basedOn w:val="1"/>
    <w:qFormat/>
    <w:uiPriority w:val="99"/>
    <w:pPr>
      <w:widowControl w:val="0"/>
      <w:tabs>
        <w:tab w:val="left" w:pos="980"/>
      </w:tabs>
      <w:overflowPunct/>
      <w:autoSpaceDE/>
      <w:autoSpaceDN/>
      <w:adjustRightInd/>
      <w:ind w:left="980" w:hanging="420"/>
    </w:pPr>
    <w:rPr>
      <w:kern w:val="2"/>
      <w:sz w:val="24"/>
      <w:szCs w:val="24"/>
    </w:rPr>
  </w:style>
  <w:style w:type="paragraph" w:customStyle="1" w:styleId="134">
    <w:name w:val="Char Char Char Char Char Char Char Char Char Char Char Char Char Char"/>
    <w:basedOn w:val="1"/>
    <w:qFormat/>
    <w:uiPriority w:val="99"/>
    <w:pPr>
      <w:widowControl w:val="0"/>
      <w:overflowPunct/>
      <w:autoSpaceDE/>
      <w:autoSpaceDN/>
      <w:adjustRightInd/>
    </w:pPr>
  </w:style>
  <w:style w:type="paragraph" w:customStyle="1" w:styleId="135">
    <w:name w:val="Char"/>
    <w:basedOn w:val="1"/>
    <w:semiHidden/>
    <w:qFormat/>
    <w:uiPriority w:val="99"/>
    <w:pPr>
      <w:widowControl w:val="0"/>
      <w:overflowPunct/>
      <w:autoSpaceDE/>
      <w:autoSpaceDN/>
      <w:adjustRightInd/>
    </w:pPr>
    <w:rPr>
      <w:kern w:val="2"/>
    </w:rPr>
  </w:style>
  <w:style w:type="character" w:customStyle="1" w:styleId="136">
    <w:name w:val="办文来文摘要"/>
    <w:qFormat/>
    <w:uiPriority w:val="99"/>
    <w:rPr>
      <w:rFonts w:eastAsia="仿宋_GB2312"/>
      <w:sz w:val="24"/>
      <w:szCs w:val="24"/>
    </w:rPr>
  </w:style>
  <w:style w:type="paragraph" w:customStyle="1" w:styleId="137">
    <w:name w:val="Char Char Char1 Char Char Char Char"/>
    <w:basedOn w:val="1"/>
    <w:qFormat/>
    <w:uiPriority w:val="99"/>
    <w:pPr>
      <w:widowControl w:val="0"/>
      <w:overflowPunct/>
      <w:autoSpaceDE/>
      <w:autoSpaceDN/>
      <w:adjustRightInd/>
    </w:pPr>
  </w:style>
  <w:style w:type="paragraph" w:customStyle="1" w:styleId="138">
    <w:name w:val="Char Char Char Char Char Char Char Char"/>
    <w:basedOn w:val="1"/>
    <w:qFormat/>
    <w:uiPriority w:val="99"/>
    <w:pPr>
      <w:widowControl w:val="0"/>
      <w:overflowPunct/>
      <w:autoSpaceDE/>
      <w:autoSpaceDN/>
      <w:adjustRightInd/>
    </w:pPr>
  </w:style>
  <w:style w:type="paragraph" w:styleId="139">
    <w:name w:val="List Paragraph"/>
    <w:basedOn w:val="1"/>
    <w:qFormat/>
    <w:uiPriority w:val="99"/>
    <w:pPr>
      <w:widowControl w:val="0"/>
      <w:overflowPunct/>
      <w:autoSpaceDE/>
      <w:autoSpaceDN/>
      <w:adjustRightInd/>
      <w:ind w:firstLine="420" w:firstLineChars="200"/>
    </w:pPr>
    <w:rPr>
      <w:rFonts w:ascii="Calibri" w:hAnsi="Calibri" w:cs="Calibri"/>
      <w:kern w:val="2"/>
    </w:rPr>
  </w:style>
  <w:style w:type="character" w:customStyle="1" w:styleId="140">
    <w:name w:val="公文正文"/>
    <w:qFormat/>
    <w:uiPriority w:val="99"/>
    <w:rPr>
      <w:rFonts w:ascii="仿宋_GB2312" w:eastAsia="仿宋_GB2312" w:cs="仿宋_GB2312"/>
      <w:sz w:val="32"/>
      <w:szCs w:val="32"/>
    </w:rPr>
  </w:style>
  <w:style w:type="paragraph" w:customStyle="1" w:styleId="141">
    <w:name w:val="正文 A"/>
    <w:qFormat/>
    <w:uiPriority w:val="99"/>
    <w:pPr>
      <w:spacing w:after="200" w:line="276" w:lineRule="auto"/>
    </w:pPr>
    <w:rPr>
      <w:rFonts w:ascii="Calibri" w:hAnsi="Calibri" w:eastAsia="宋体" w:cs="Calibri"/>
      <w:color w:val="000000"/>
      <w:sz w:val="22"/>
      <w:szCs w:val="22"/>
      <w:u w:color="000000"/>
      <w:lang w:val="en-US" w:eastAsia="zh-CN" w:bidi="ar-SA"/>
    </w:rPr>
  </w:style>
  <w:style w:type="character" w:customStyle="1" w:styleId="142">
    <w:name w:val="公文文号"/>
    <w:qFormat/>
    <w:uiPriority w:val="99"/>
    <w:rPr>
      <w:rFonts w:eastAsia="仿宋_GB2312"/>
      <w:sz w:val="32"/>
      <w:szCs w:val="32"/>
    </w:rPr>
  </w:style>
  <w:style w:type="character" w:customStyle="1" w:styleId="143">
    <w:name w:val="font41"/>
    <w:qFormat/>
    <w:uiPriority w:val="99"/>
    <w:rPr>
      <w:rFonts w:ascii="仿宋" w:hAnsi="仿宋" w:eastAsia="仿宋" w:cs="仿宋"/>
      <w:b/>
      <w:bCs/>
      <w:color w:val="000000"/>
      <w:sz w:val="18"/>
      <w:szCs w:val="18"/>
      <w:u w:val="none"/>
    </w:rPr>
  </w:style>
  <w:style w:type="character" w:customStyle="1" w:styleId="144">
    <w:name w:val="font61"/>
    <w:qFormat/>
    <w:uiPriority w:val="99"/>
    <w:rPr>
      <w:rFonts w:ascii="宋体" w:hAnsi="宋体" w:eastAsia="宋体" w:cs="宋体"/>
      <w:color w:val="000000"/>
      <w:sz w:val="16"/>
      <w:szCs w:val="16"/>
      <w:u w:val="none"/>
    </w:rPr>
  </w:style>
  <w:style w:type="character" w:customStyle="1" w:styleId="145">
    <w:name w:val="font51"/>
    <w:qFormat/>
    <w:uiPriority w:val="99"/>
    <w:rPr>
      <w:rFonts w:ascii="Arial Narrow" w:hAnsi="Arial Narrow" w:cs="Arial Narrow"/>
      <w:color w:val="000000"/>
      <w:sz w:val="16"/>
      <w:szCs w:val="16"/>
      <w:u w:val="none"/>
    </w:rPr>
  </w:style>
  <w:style w:type="character" w:customStyle="1" w:styleId="146">
    <w:name w:val="font11"/>
    <w:qFormat/>
    <w:uiPriority w:val="99"/>
    <w:rPr>
      <w:rFonts w:ascii="宋体" w:hAnsi="宋体" w:eastAsia="宋体" w:cs="宋体"/>
      <w:b/>
      <w:bCs/>
      <w:color w:val="000000"/>
      <w:sz w:val="18"/>
      <w:szCs w:val="18"/>
      <w:u w:val="none"/>
    </w:rPr>
  </w:style>
  <w:style w:type="character" w:customStyle="1" w:styleId="147">
    <w:name w:val="font31"/>
    <w:qFormat/>
    <w:uiPriority w:val="99"/>
    <w:rPr>
      <w:rFonts w:ascii="Arial Narrow" w:hAnsi="Arial Narrow" w:cs="Arial Narrow"/>
      <w:color w:val="000000"/>
      <w:sz w:val="18"/>
      <w:szCs w:val="18"/>
      <w:u w:val="none"/>
    </w:rPr>
  </w:style>
  <w:style w:type="character" w:customStyle="1" w:styleId="148">
    <w:name w:val="font01"/>
    <w:qFormat/>
    <w:uiPriority w:val="99"/>
    <w:rPr>
      <w:rFonts w:ascii="宋体" w:hAnsi="宋体" w:eastAsia="宋体" w:cs="宋体"/>
      <w:color w:val="000000"/>
      <w:sz w:val="18"/>
      <w:szCs w:val="18"/>
      <w:u w:val="none"/>
    </w:rPr>
  </w:style>
  <w:style w:type="paragraph" w:customStyle="1" w:styleId="149">
    <w:name w:val="实施方案正文"/>
    <w:basedOn w:val="1"/>
    <w:qFormat/>
    <w:uiPriority w:val="99"/>
    <w:pPr>
      <w:ind w:firstLine="566" w:firstLineChars="202"/>
    </w:pPr>
    <w:rPr>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58</Pages>
  <Words>6277</Words>
  <Characters>35780</Characters>
  <Lines>298</Lines>
  <Paragraphs>83</Paragraphs>
  <TotalTime>6</TotalTime>
  <ScaleCrop>false</ScaleCrop>
  <LinksUpToDate>false</LinksUpToDate>
  <CharactersWithSpaces>41974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2020-05-19T20:08:00Z</dcterms:created>
  <dc:creator>李娟</dc:creator>
  <cp:lastModifiedBy>lenovo</cp:lastModifiedBy>
  <cp:lastPrinted>2020-05-31T22:40:00Z</cp:lastPrinted>
  <dcterms:modified xsi:type="dcterms:W3CDTF">2025-03-21T06:55:24Z</dcterms:modified>
  <dc:title>昆明市财政项目支出绩效评价报告</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ommondata">
    <vt:lpwstr>eyJoZGlkIjoiNzhlMDVmZTg3ZjM3NzU5MzZlNTg0OTJkZTQ0OWE2ZmYifQ==</vt:lpwstr>
  </property>
  <property fmtid="{D5CDD505-2E9C-101B-9397-08002B2CF9AE}" pid="4" name="ICV">
    <vt:lpwstr>78CD51C4B53F4814A6815014F53A4714</vt:lpwstr>
  </property>
</Properties>
</file>